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2E7" w:rsidRDefault="000C02E7" w:rsidP="000C02E7">
      <w:pPr>
        <w:pStyle w:val="Balk1"/>
        <w:widowControl w:val="0"/>
        <w:numPr>
          <w:ilvl w:val="0"/>
          <w:numId w:val="1"/>
        </w:numPr>
        <w:tabs>
          <w:tab w:val="left" w:pos="507"/>
        </w:tabs>
        <w:spacing w:before="173"/>
        <w:ind w:left="506" w:hanging="251"/>
        <w:rPr>
          <w:rFonts w:cs="DejaVu Sans Condensed"/>
          <w:b/>
          <w:bCs/>
          <w:w w:val="0"/>
          <w:sz w:val="19"/>
          <w:szCs w:val="19"/>
          <w:lang w:val="en-US"/>
        </w:rPr>
      </w:pPr>
      <w:r>
        <w:rPr>
          <w:rFonts w:cs="DejaVu Sans Condensed"/>
          <w:b/>
          <w:bCs/>
          <w:w w:val="105"/>
          <w:sz w:val="19"/>
          <w:szCs w:val="19"/>
          <w:lang w:val="en-US"/>
        </w:rPr>
        <w:t>ACCREDITATION</w:t>
      </w:r>
      <w:r>
        <w:rPr>
          <w:rFonts w:cs="DejaVu Sans Condensed"/>
          <w:b/>
          <w:bCs/>
          <w:spacing w:val="-3"/>
          <w:w w:val="105"/>
          <w:sz w:val="19"/>
          <w:szCs w:val="19"/>
          <w:lang w:val="en-US"/>
        </w:rPr>
        <w:t xml:space="preserve"> </w:t>
      </w:r>
      <w:r>
        <w:rPr>
          <w:rFonts w:cs="DejaVu Sans Condensed"/>
          <w:b/>
          <w:bCs/>
          <w:w w:val="105"/>
          <w:sz w:val="19"/>
          <w:szCs w:val="19"/>
          <w:lang w:val="en-US"/>
        </w:rPr>
        <w:t>FEE</w:t>
      </w:r>
    </w:p>
    <w:p w:rsidR="000C02E7" w:rsidRDefault="000C02E7" w:rsidP="000C02E7">
      <w:pPr>
        <w:widowControl w:val="0"/>
        <w:spacing w:before="11"/>
        <w:rPr>
          <w:rFonts w:cs="DejaVu Sans Condensed"/>
          <w:b/>
          <w:bCs/>
          <w:w w:val="0"/>
          <w:sz w:val="18"/>
          <w:szCs w:val="18"/>
          <w:lang w:val="en-US"/>
        </w:rPr>
      </w:pPr>
    </w:p>
    <w:p w:rsidR="000C02E7" w:rsidRDefault="000C02E7" w:rsidP="000C02E7">
      <w:pPr>
        <w:widowControl w:val="0"/>
        <w:tabs>
          <w:tab w:val="left" w:pos="642"/>
        </w:tabs>
        <w:ind w:left="641" w:hanging="535"/>
        <w:rPr>
          <w:rFonts w:cs="DejaVu Sans Condensed"/>
          <w:w w:val="0"/>
          <w:sz w:val="16"/>
          <w:szCs w:val="16"/>
          <w:lang w:val="en-US"/>
        </w:rPr>
      </w:pPr>
      <w:r>
        <w:rPr>
          <w:rFonts w:cs="DejaVu Sans Condensed"/>
          <w:w w:val="103"/>
          <w:sz w:val="16"/>
          <w:szCs w:val="16"/>
          <w:lang w:val="en-US"/>
        </w:rPr>
        <w:t>1.1.</w:t>
      </w:r>
      <w:r>
        <w:rPr>
          <w:rFonts w:cs="DejaVu Sans Condensed"/>
          <w:w w:val="103"/>
          <w:sz w:val="16"/>
          <w:szCs w:val="16"/>
          <w:lang w:val="en-US"/>
        </w:rPr>
        <w:tab/>
      </w:r>
      <w:r>
        <w:rPr>
          <w:rFonts w:cs="DejaVu Sans Condensed"/>
          <w:w w:val="105"/>
          <w:sz w:val="16"/>
          <w:szCs w:val="16"/>
          <w:lang w:val="en-US"/>
        </w:rPr>
        <w:t>Components of the Accreditation</w:t>
      </w:r>
      <w:r>
        <w:rPr>
          <w:rFonts w:cs="DejaVu Sans Condensed"/>
          <w:spacing w:val="11"/>
          <w:w w:val="105"/>
          <w:sz w:val="16"/>
          <w:szCs w:val="16"/>
          <w:lang w:val="en-US"/>
        </w:rPr>
        <w:t xml:space="preserve"> </w:t>
      </w:r>
      <w:r>
        <w:rPr>
          <w:rFonts w:cs="DejaVu Sans Condensed"/>
          <w:w w:val="105"/>
          <w:sz w:val="16"/>
          <w:szCs w:val="16"/>
          <w:lang w:val="en-US"/>
        </w:rPr>
        <w:t>Fee</w:t>
      </w:r>
    </w:p>
    <w:p w:rsidR="000C02E7" w:rsidRDefault="000C02E7" w:rsidP="000C02E7">
      <w:pPr>
        <w:widowControl w:val="0"/>
        <w:spacing w:before="33"/>
        <w:ind w:left="107"/>
        <w:rPr>
          <w:rFonts w:cs="DejaVu Sans Condensed"/>
          <w:w w:val="0"/>
          <w:sz w:val="16"/>
          <w:szCs w:val="16"/>
          <w:lang w:val="en-US"/>
        </w:rPr>
      </w:pPr>
      <w:r>
        <w:rPr>
          <w:rFonts w:cs="DejaVu Sans Condensed"/>
          <w:w w:val="105"/>
          <w:sz w:val="16"/>
          <w:szCs w:val="16"/>
          <w:lang w:val="en-US"/>
        </w:rPr>
        <w:t>The accreditation fee mainly involves the following items:</w:t>
      </w:r>
    </w:p>
    <w:p w:rsidR="000C02E7" w:rsidRDefault="000C02E7" w:rsidP="000C02E7">
      <w:pPr>
        <w:widowControl w:val="0"/>
        <w:spacing w:before="9"/>
        <w:rPr>
          <w:rFonts w:cs="DejaVu Sans Condensed"/>
          <w:w w:val="0"/>
          <w:sz w:val="9"/>
          <w:szCs w:val="9"/>
          <w:lang w:val="en-US"/>
        </w:rPr>
      </w:pPr>
    </w:p>
    <w:p w:rsidR="000C02E7" w:rsidRDefault="000C02E7" w:rsidP="000C02E7">
      <w:pPr>
        <w:widowControl w:val="0"/>
        <w:numPr>
          <w:ilvl w:val="0"/>
          <w:numId w:val="2"/>
        </w:numPr>
        <w:tabs>
          <w:tab w:val="left" w:pos="233"/>
        </w:tabs>
        <w:spacing w:before="104"/>
        <w:ind w:left="232" w:hanging="128"/>
        <w:rPr>
          <w:rFonts w:cs="DejaVu Sans Condensed"/>
          <w:w w:val="0"/>
          <w:sz w:val="16"/>
          <w:szCs w:val="16"/>
          <w:lang w:val="en-US"/>
        </w:rPr>
      </w:pPr>
      <w:r>
        <w:rPr>
          <w:rFonts w:cs="DejaVu Sans Condensed"/>
          <w:w w:val="105"/>
          <w:sz w:val="16"/>
          <w:szCs w:val="16"/>
          <w:lang w:val="en-US"/>
        </w:rPr>
        <w:t>Application and File Registration</w:t>
      </w:r>
      <w:r>
        <w:rPr>
          <w:rFonts w:cs="DejaVu Sans Condensed"/>
          <w:spacing w:val="11"/>
          <w:w w:val="105"/>
          <w:sz w:val="16"/>
          <w:szCs w:val="16"/>
          <w:lang w:val="en-US"/>
        </w:rPr>
        <w:t xml:space="preserve"> </w:t>
      </w:r>
      <w:r>
        <w:rPr>
          <w:rFonts w:cs="DejaVu Sans Condensed"/>
          <w:w w:val="105"/>
          <w:sz w:val="16"/>
          <w:szCs w:val="16"/>
          <w:lang w:val="en-US"/>
        </w:rPr>
        <w:t>Fee</w:t>
      </w:r>
    </w:p>
    <w:p w:rsidR="000C02E7" w:rsidRDefault="000C02E7" w:rsidP="000C02E7">
      <w:pPr>
        <w:widowControl w:val="0"/>
        <w:numPr>
          <w:ilvl w:val="0"/>
          <w:numId w:val="2"/>
        </w:numPr>
        <w:tabs>
          <w:tab w:val="left" w:pos="233"/>
        </w:tabs>
        <w:spacing w:before="34"/>
        <w:ind w:left="232" w:hanging="128"/>
        <w:rPr>
          <w:rFonts w:cs="DejaVu Sans Condensed"/>
          <w:w w:val="0"/>
          <w:sz w:val="16"/>
          <w:szCs w:val="16"/>
          <w:lang w:val="en-US"/>
        </w:rPr>
      </w:pPr>
      <w:r>
        <w:rPr>
          <w:rFonts w:cs="DejaVu Sans Condensed"/>
          <w:w w:val="105"/>
          <w:sz w:val="16"/>
          <w:szCs w:val="16"/>
          <w:lang w:val="en-US"/>
        </w:rPr>
        <w:t>Administrative Service</w:t>
      </w:r>
      <w:r>
        <w:rPr>
          <w:rFonts w:cs="DejaVu Sans Condensed"/>
          <w:spacing w:val="5"/>
          <w:w w:val="105"/>
          <w:sz w:val="16"/>
          <w:szCs w:val="16"/>
          <w:lang w:val="en-US"/>
        </w:rPr>
        <w:t xml:space="preserve"> </w:t>
      </w:r>
      <w:r>
        <w:rPr>
          <w:rFonts w:cs="DejaVu Sans Condensed"/>
          <w:w w:val="105"/>
          <w:sz w:val="16"/>
          <w:szCs w:val="16"/>
          <w:lang w:val="en-US"/>
        </w:rPr>
        <w:t>Fee</w:t>
      </w:r>
    </w:p>
    <w:p w:rsidR="000C02E7" w:rsidRDefault="000C02E7" w:rsidP="000C02E7">
      <w:pPr>
        <w:widowControl w:val="0"/>
        <w:numPr>
          <w:ilvl w:val="0"/>
          <w:numId w:val="2"/>
        </w:numPr>
        <w:tabs>
          <w:tab w:val="left" w:pos="233"/>
        </w:tabs>
        <w:spacing w:before="33"/>
        <w:ind w:left="232" w:hanging="128"/>
        <w:rPr>
          <w:rFonts w:cs="DejaVu Sans Condensed"/>
          <w:w w:val="0"/>
          <w:sz w:val="16"/>
          <w:szCs w:val="16"/>
          <w:lang w:val="en-US"/>
        </w:rPr>
      </w:pPr>
      <w:r>
        <w:rPr>
          <w:rFonts w:cs="DejaVu Sans Condensed"/>
          <w:w w:val="105"/>
          <w:sz w:val="16"/>
          <w:szCs w:val="16"/>
          <w:lang w:val="en-US"/>
        </w:rPr>
        <w:t>Document Review</w:t>
      </w:r>
      <w:r>
        <w:rPr>
          <w:rFonts w:cs="DejaVu Sans Condensed"/>
          <w:spacing w:val="6"/>
          <w:w w:val="105"/>
          <w:sz w:val="16"/>
          <w:szCs w:val="16"/>
          <w:lang w:val="en-US"/>
        </w:rPr>
        <w:t xml:space="preserve"> </w:t>
      </w:r>
      <w:r>
        <w:rPr>
          <w:rFonts w:cs="DejaVu Sans Condensed"/>
          <w:w w:val="105"/>
          <w:sz w:val="16"/>
          <w:szCs w:val="16"/>
          <w:lang w:val="en-US"/>
        </w:rPr>
        <w:t>Fee</w:t>
      </w:r>
    </w:p>
    <w:p w:rsidR="000C02E7" w:rsidRDefault="000C02E7" w:rsidP="000C02E7">
      <w:pPr>
        <w:widowControl w:val="0"/>
        <w:numPr>
          <w:ilvl w:val="0"/>
          <w:numId w:val="2"/>
        </w:numPr>
        <w:tabs>
          <w:tab w:val="left" w:pos="233"/>
        </w:tabs>
        <w:spacing w:before="33"/>
        <w:ind w:left="232" w:hanging="128"/>
        <w:rPr>
          <w:rFonts w:cs="DejaVu Sans Condensed"/>
          <w:w w:val="0"/>
          <w:sz w:val="16"/>
          <w:szCs w:val="16"/>
          <w:lang w:val="en-US"/>
        </w:rPr>
      </w:pPr>
      <w:r>
        <w:rPr>
          <w:rFonts w:cs="DejaVu Sans Condensed"/>
          <w:w w:val="105"/>
          <w:sz w:val="16"/>
          <w:szCs w:val="16"/>
          <w:lang w:val="en-US"/>
        </w:rPr>
        <w:t>Assessment</w:t>
      </w:r>
      <w:r>
        <w:rPr>
          <w:rFonts w:cs="DejaVu Sans Condensed"/>
          <w:spacing w:val="2"/>
          <w:w w:val="105"/>
          <w:sz w:val="16"/>
          <w:szCs w:val="16"/>
          <w:lang w:val="en-US"/>
        </w:rPr>
        <w:t xml:space="preserve"> </w:t>
      </w:r>
      <w:r>
        <w:rPr>
          <w:rFonts w:cs="DejaVu Sans Condensed"/>
          <w:w w:val="105"/>
          <w:sz w:val="16"/>
          <w:szCs w:val="16"/>
          <w:lang w:val="en-US"/>
        </w:rPr>
        <w:t>Fee</w:t>
      </w:r>
    </w:p>
    <w:p w:rsidR="000C02E7" w:rsidRDefault="000C02E7" w:rsidP="000C02E7">
      <w:pPr>
        <w:widowControl w:val="0"/>
        <w:numPr>
          <w:ilvl w:val="0"/>
          <w:numId w:val="2"/>
        </w:numPr>
        <w:tabs>
          <w:tab w:val="left" w:pos="233"/>
        </w:tabs>
        <w:spacing w:before="33"/>
        <w:ind w:left="232" w:hanging="128"/>
        <w:rPr>
          <w:rFonts w:cs="DejaVu Sans Condensed"/>
          <w:w w:val="0"/>
          <w:sz w:val="16"/>
          <w:szCs w:val="16"/>
          <w:lang w:val="en-US"/>
        </w:rPr>
      </w:pPr>
      <w:r>
        <w:rPr>
          <w:rFonts w:cs="DejaVu Sans Condensed"/>
          <w:w w:val="105"/>
          <w:sz w:val="16"/>
          <w:szCs w:val="16"/>
          <w:lang w:val="en-US"/>
        </w:rPr>
        <w:t>Share Paid from Accreditation</w:t>
      </w:r>
      <w:r>
        <w:rPr>
          <w:rFonts w:cs="DejaVu Sans Condensed"/>
          <w:spacing w:val="10"/>
          <w:w w:val="105"/>
          <w:sz w:val="16"/>
          <w:szCs w:val="16"/>
          <w:lang w:val="en-US"/>
        </w:rPr>
        <w:t xml:space="preserve"> </w:t>
      </w:r>
      <w:r>
        <w:rPr>
          <w:rFonts w:cs="DejaVu Sans Condensed"/>
          <w:w w:val="105"/>
          <w:sz w:val="16"/>
          <w:szCs w:val="16"/>
          <w:lang w:val="en-US"/>
        </w:rPr>
        <w:t>Revenues</w:t>
      </w:r>
    </w:p>
    <w:p w:rsidR="000C02E7" w:rsidRDefault="000C02E7" w:rsidP="000C02E7">
      <w:pPr>
        <w:widowControl w:val="0"/>
        <w:numPr>
          <w:ilvl w:val="0"/>
          <w:numId w:val="2"/>
        </w:numPr>
        <w:tabs>
          <w:tab w:val="left" w:pos="233"/>
        </w:tabs>
        <w:spacing w:before="33"/>
        <w:ind w:left="232" w:hanging="128"/>
        <w:rPr>
          <w:rFonts w:cs="DejaVu Sans Condensed"/>
          <w:w w:val="0"/>
          <w:sz w:val="16"/>
          <w:szCs w:val="16"/>
          <w:lang w:val="en-US"/>
        </w:rPr>
      </w:pPr>
      <w:r>
        <w:rPr>
          <w:rFonts w:cs="DejaVu Sans Condensed"/>
          <w:w w:val="105"/>
          <w:sz w:val="16"/>
          <w:szCs w:val="16"/>
          <w:lang w:val="en-US"/>
        </w:rPr>
        <w:t>Assessment Team</w:t>
      </w:r>
      <w:r>
        <w:rPr>
          <w:rFonts w:cs="DejaVu Sans Condensed"/>
          <w:spacing w:val="5"/>
          <w:w w:val="105"/>
          <w:sz w:val="16"/>
          <w:szCs w:val="16"/>
          <w:lang w:val="en-US"/>
        </w:rPr>
        <w:t xml:space="preserve"> </w:t>
      </w:r>
      <w:r>
        <w:rPr>
          <w:rFonts w:cs="DejaVu Sans Condensed"/>
          <w:w w:val="105"/>
          <w:sz w:val="16"/>
          <w:szCs w:val="16"/>
          <w:lang w:val="en-US"/>
        </w:rPr>
        <w:t>Expenses</w:t>
      </w:r>
    </w:p>
    <w:p w:rsidR="000C02E7" w:rsidRDefault="000C02E7" w:rsidP="000C02E7">
      <w:pPr>
        <w:widowControl w:val="0"/>
        <w:spacing w:before="9"/>
        <w:rPr>
          <w:rFonts w:cs="DejaVu Sans Condensed"/>
          <w:w w:val="0"/>
          <w:sz w:val="9"/>
          <w:szCs w:val="9"/>
          <w:lang w:val="en-US"/>
        </w:rPr>
      </w:pPr>
    </w:p>
    <w:p w:rsidR="000C02E7" w:rsidRDefault="000C02E7" w:rsidP="000C02E7">
      <w:pPr>
        <w:widowControl w:val="0"/>
        <w:tabs>
          <w:tab w:val="left" w:pos="641"/>
        </w:tabs>
        <w:spacing w:before="105"/>
        <w:ind w:left="640" w:hanging="535"/>
        <w:jc w:val="both"/>
        <w:rPr>
          <w:rFonts w:cs="DejaVu Sans Condensed"/>
          <w:w w:val="0"/>
          <w:sz w:val="16"/>
          <w:szCs w:val="16"/>
          <w:lang w:val="en-US"/>
        </w:rPr>
      </w:pPr>
      <w:r>
        <w:rPr>
          <w:rFonts w:cs="DejaVu Sans Condensed"/>
          <w:w w:val="103"/>
          <w:sz w:val="16"/>
          <w:szCs w:val="16"/>
          <w:lang w:val="en-US"/>
        </w:rPr>
        <w:t>1.2.</w:t>
      </w:r>
      <w:r>
        <w:rPr>
          <w:rFonts w:cs="DejaVu Sans Condensed"/>
          <w:w w:val="103"/>
          <w:sz w:val="16"/>
          <w:szCs w:val="16"/>
          <w:lang w:val="en-US"/>
        </w:rPr>
        <w:tab/>
      </w:r>
      <w:r>
        <w:rPr>
          <w:rFonts w:cs="DejaVu Sans Condensed"/>
          <w:w w:val="105"/>
          <w:sz w:val="16"/>
          <w:szCs w:val="16"/>
          <w:lang w:val="en-US"/>
        </w:rPr>
        <w:t>Determination of the Accreditation Service</w:t>
      </w:r>
      <w:r>
        <w:rPr>
          <w:rFonts w:cs="DejaVu Sans Condensed"/>
          <w:spacing w:val="14"/>
          <w:w w:val="105"/>
          <w:sz w:val="16"/>
          <w:szCs w:val="16"/>
          <w:lang w:val="en-US"/>
        </w:rPr>
        <w:t xml:space="preserve"> </w:t>
      </w:r>
      <w:r>
        <w:rPr>
          <w:rFonts w:cs="DejaVu Sans Condensed"/>
          <w:w w:val="105"/>
          <w:sz w:val="16"/>
          <w:szCs w:val="16"/>
          <w:lang w:val="en-US"/>
        </w:rPr>
        <w:t>Fee</w:t>
      </w:r>
    </w:p>
    <w:p w:rsidR="000C02E7" w:rsidRDefault="000C02E7" w:rsidP="000C02E7">
      <w:pPr>
        <w:widowControl w:val="0"/>
        <w:spacing w:before="33" w:line="276" w:lineRule="auto"/>
        <w:ind w:left="106" w:right="125"/>
        <w:jc w:val="both"/>
        <w:rPr>
          <w:rFonts w:cs="DejaVu Sans Condensed"/>
          <w:w w:val="0"/>
          <w:sz w:val="16"/>
          <w:szCs w:val="16"/>
          <w:lang w:val="en-US"/>
        </w:rPr>
      </w:pPr>
      <w:r>
        <w:rPr>
          <w:rFonts w:cs="DejaVu Sans Condensed"/>
          <w:w w:val="105"/>
          <w:sz w:val="16"/>
          <w:szCs w:val="16"/>
          <w:lang w:val="en-US"/>
        </w:rPr>
        <w:t xml:space="preserve">Items which constitute the accreditation fee are accrued by means of agreements made during the various stages of accreditation services provided by </w:t>
      </w:r>
      <w:r w:rsidR="004177AA">
        <w:rPr>
          <w:rFonts w:cs="DejaVu Sans Condensed"/>
          <w:w w:val="105"/>
          <w:sz w:val="16"/>
          <w:szCs w:val="16"/>
          <w:lang w:val="en-US"/>
        </w:rPr>
        <w:t>IRNAC</w:t>
      </w:r>
      <w:r>
        <w:rPr>
          <w:rFonts w:cs="DejaVu Sans Condensed"/>
          <w:w w:val="105"/>
          <w:sz w:val="16"/>
          <w:szCs w:val="16"/>
          <w:lang w:val="en-US"/>
        </w:rPr>
        <w:t>. The calculation methods of the said fees are provided below. The total accreditation fee is calculated by considering the assessment team formed according to the scope requested, the number of assessment days scheduled and the expenses generated during the accreditation process. The application fee is the fee that must be paid at the time of application and shall not be refunded under any circumstances.</w:t>
      </w:r>
    </w:p>
    <w:p w:rsidR="000C02E7" w:rsidRDefault="000C02E7" w:rsidP="000C02E7">
      <w:pPr>
        <w:widowControl w:val="0"/>
        <w:spacing w:before="8"/>
        <w:rPr>
          <w:rFonts w:cs="DejaVu Sans Condensed"/>
          <w:w w:val="0"/>
          <w:sz w:val="15"/>
          <w:szCs w:val="15"/>
          <w:lang w:val="en-US"/>
        </w:rPr>
      </w:pPr>
    </w:p>
    <w:p w:rsidR="000C02E7" w:rsidRDefault="000C02E7" w:rsidP="000C02E7">
      <w:pPr>
        <w:widowControl w:val="0"/>
        <w:spacing w:line="276" w:lineRule="auto"/>
        <w:ind w:left="107" w:right="125"/>
        <w:jc w:val="both"/>
        <w:rPr>
          <w:rFonts w:cs="DejaVu Sans Condensed"/>
          <w:w w:val="0"/>
          <w:sz w:val="16"/>
          <w:szCs w:val="16"/>
          <w:lang w:val="en-US"/>
        </w:rPr>
      </w:pPr>
      <w:r>
        <w:rPr>
          <w:rFonts w:cs="DejaVu Sans Condensed"/>
          <w:w w:val="105"/>
          <w:sz w:val="16"/>
          <w:szCs w:val="16"/>
          <w:lang w:val="en-US"/>
        </w:rPr>
        <w:t xml:space="preserve">The applicant shall be obliged to pay the total amount calculated to the point at which the applicant abandons accreditation at any stage of the process of granting or maintaining of accreditation. If the applicant makes such a decision during the assessment process, the applicant shall be obliged to pay the total amount of fees calculated for the entire assessment, as well as the assessment team expenses, if any. Fees charged for all services provided by </w:t>
      </w:r>
      <w:r w:rsidR="004177AA">
        <w:rPr>
          <w:rFonts w:cs="DejaVu Sans Condensed"/>
          <w:w w:val="105"/>
          <w:sz w:val="16"/>
          <w:szCs w:val="16"/>
          <w:lang w:val="en-US"/>
        </w:rPr>
        <w:t>IRNAC</w:t>
      </w:r>
      <w:r w:rsidR="00672765">
        <w:rPr>
          <w:rFonts w:cs="DejaVu Sans Condensed"/>
          <w:w w:val="105"/>
          <w:sz w:val="16"/>
          <w:szCs w:val="16"/>
          <w:lang w:val="en-US"/>
        </w:rPr>
        <w:t xml:space="preserve"> </w:t>
      </w:r>
      <w:r>
        <w:rPr>
          <w:rFonts w:cs="DejaVu Sans Condensed"/>
          <w:w w:val="105"/>
          <w:sz w:val="16"/>
          <w:szCs w:val="16"/>
          <w:lang w:val="en-US"/>
        </w:rPr>
        <w:t>do not include the legal taxes.</w:t>
      </w:r>
    </w:p>
    <w:p w:rsidR="000C02E7" w:rsidRDefault="000C02E7" w:rsidP="000C02E7">
      <w:pPr>
        <w:widowControl w:val="0"/>
        <w:spacing w:before="9"/>
        <w:rPr>
          <w:rFonts w:cs="DejaVu Sans Condensed"/>
          <w:w w:val="0"/>
          <w:sz w:val="15"/>
          <w:szCs w:val="15"/>
          <w:lang w:val="en-US"/>
        </w:rPr>
      </w:pPr>
    </w:p>
    <w:p w:rsidR="000C02E7" w:rsidRDefault="000C02E7" w:rsidP="000C02E7">
      <w:pPr>
        <w:widowControl w:val="0"/>
        <w:tabs>
          <w:tab w:val="left" w:pos="688"/>
        </w:tabs>
        <w:ind w:left="687" w:hanging="582"/>
        <w:jc w:val="both"/>
        <w:rPr>
          <w:rFonts w:cs="DejaVu Sans Condensed"/>
          <w:w w:val="0"/>
          <w:sz w:val="16"/>
          <w:szCs w:val="16"/>
          <w:lang w:val="en-US"/>
        </w:rPr>
      </w:pPr>
      <w:r>
        <w:rPr>
          <w:rFonts w:cs="DejaVu Sans Condensed"/>
          <w:w w:val="103"/>
          <w:sz w:val="16"/>
          <w:szCs w:val="16"/>
          <w:lang w:val="en-US"/>
        </w:rPr>
        <w:t>1.2.1.</w:t>
      </w:r>
      <w:r>
        <w:rPr>
          <w:rFonts w:cs="DejaVu Sans Condensed"/>
          <w:w w:val="103"/>
          <w:sz w:val="16"/>
          <w:szCs w:val="16"/>
          <w:lang w:val="en-US"/>
        </w:rPr>
        <w:tab/>
      </w:r>
      <w:r>
        <w:rPr>
          <w:rFonts w:cs="DejaVu Sans Condensed"/>
          <w:w w:val="105"/>
          <w:sz w:val="16"/>
          <w:szCs w:val="16"/>
          <w:lang w:val="en-US"/>
        </w:rPr>
        <w:t>Application and File Registration</w:t>
      </w:r>
      <w:r>
        <w:rPr>
          <w:rFonts w:cs="DejaVu Sans Condensed"/>
          <w:spacing w:val="11"/>
          <w:w w:val="105"/>
          <w:sz w:val="16"/>
          <w:szCs w:val="16"/>
          <w:lang w:val="en-US"/>
        </w:rPr>
        <w:t xml:space="preserve"> </w:t>
      </w:r>
      <w:r>
        <w:rPr>
          <w:rFonts w:cs="DejaVu Sans Condensed"/>
          <w:w w:val="105"/>
          <w:sz w:val="16"/>
          <w:szCs w:val="16"/>
          <w:lang w:val="en-US"/>
        </w:rPr>
        <w:t>Fee</w:t>
      </w:r>
    </w:p>
    <w:p w:rsidR="000C02E7" w:rsidRDefault="000C02E7" w:rsidP="000C02E7">
      <w:pPr>
        <w:widowControl w:val="0"/>
        <w:spacing w:before="34" w:line="276" w:lineRule="auto"/>
        <w:ind w:left="106" w:right="126"/>
        <w:jc w:val="both"/>
        <w:rPr>
          <w:rFonts w:cs="DejaVu Sans Condensed"/>
          <w:w w:val="0"/>
          <w:sz w:val="16"/>
          <w:szCs w:val="16"/>
          <w:lang w:val="en-US"/>
        </w:rPr>
      </w:pPr>
      <w:r>
        <w:rPr>
          <w:rFonts w:cs="DejaVu Sans Condensed"/>
          <w:w w:val="105"/>
          <w:sz w:val="16"/>
          <w:szCs w:val="16"/>
          <w:lang w:val="en-US"/>
        </w:rPr>
        <w:t xml:space="preserve">It is a fixed fee required by </w:t>
      </w:r>
      <w:r w:rsidR="004177AA">
        <w:rPr>
          <w:rFonts w:cs="DejaVu Sans Condensed"/>
          <w:w w:val="105"/>
          <w:sz w:val="16"/>
          <w:szCs w:val="16"/>
          <w:lang w:val="en-US"/>
        </w:rPr>
        <w:t>IRNAC</w:t>
      </w:r>
      <w:r w:rsidR="00A44049">
        <w:rPr>
          <w:rFonts w:cs="DejaVu Sans Condensed"/>
          <w:w w:val="105"/>
          <w:sz w:val="16"/>
          <w:szCs w:val="16"/>
          <w:lang w:val="en-US"/>
        </w:rPr>
        <w:t xml:space="preserve"> </w:t>
      </w:r>
      <w:r>
        <w:rPr>
          <w:rFonts w:cs="DejaVu Sans Condensed"/>
          <w:w w:val="105"/>
          <w:sz w:val="16"/>
          <w:szCs w:val="16"/>
          <w:lang w:val="en-US"/>
        </w:rPr>
        <w:t>for registering and filing the application of an applicant body. This fee shall be paid at the time of initial accreditation and shall not be refunded under any circumstances.</w:t>
      </w:r>
    </w:p>
    <w:p w:rsidR="000C02E7" w:rsidRDefault="000C02E7" w:rsidP="000C02E7">
      <w:pPr>
        <w:widowControl w:val="0"/>
        <w:spacing w:before="9"/>
        <w:rPr>
          <w:rFonts w:cs="DejaVu Sans Condensed"/>
          <w:w w:val="0"/>
          <w:sz w:val="15"/>
          <w:szCs w:val="15"/>
          <w:lang w:val="en-US"/>
        </w:rPr>
      </w:pPr>
    </w:p>
    <w:p w:rsidR="000C02E7" w:rsidRDefault="000C02E7" w:rsidP="000C02E7">
      <w:pPr>
        <w:widowControl w:val="0"/>
        <w:ind w:left="106"/>
        <w:rPr>
          <w:rFonts w:cs="DejaVu Sans Condensed"/>
          <w:w w:val="0"/>
          <w:sz w:val="16"/>
          <w:szCs w:val="16"/>
          <w:lang w:val="en-US"/>
        </w:rPr>
      </w:pPr>
      <w:r>
        <w:rPr>
          <w:rFonts w:cs="DejaVu Sans Condensed"/>
          <w:w w:val="105"/>
          <w:sz w:val="16"/>
          <w:szCs w:val="16"/>
          <w:u w:val="single"/>
          <w:lang w:val="en-US"/>
        </w:rPr>
        <w:t>Application and file registration fee</w:t>
      </w:r>
      <w:r w:rsidR="006551BF">
        <w:rPr>
          <w:rFonts w:cs="DejaVu Sans Condensed"/>
          <w:w w:val="105"/>
          <w:sz w:val="16"/>
          <w:szCs w:val="16"/>
          <w:lang w:val="en-US"/>
        </w:rPr>
        <w:t>: $20</w:t>
      </w:r>
      <w:r>
        <w:rPr>
          <w:rFonts w:cs="DejaVu Sans Condensed"/>
          <w:w w:val="105"/>
          <w:sz w:val="16"/>
          <w:szCs w:val="16"/>
          <w:lang w:val="en-US"/>
        </w:rPr>
        <w:t>0</w:t>
      </w:r>
    </w:p>
    <w:p w:rsidR="000C02E7" w:rsidRDefault="000C02E7" w:rsidP="000C02E7">
      <w:pPr>
        <w:widowControl w:val="0"/>
        <w:spacing w:before="8"/>
        <w:rPr>
          <w:rFonts w:cs="DejaVu Sans Condensed"/>
          <w:w w:val="0"/>
          <w:sz w:val="18"/>
          <w:szCs w:val="18"/>
          <w:lang w:val="en-US"/>
        </w:rPr>
      </w:pPr>
    </w:p>
    <w:p w:rsidR="000C02E7" w:rsidRDefault="000C02E7" w:rsidP="000C02E7">
      <w:pPr>
        <w:widowControl w:val="0"/>
        <w:spacing w:before="1"/>
        <w:ind w:left="106"/>
        <w:jc w:val="both"/>
        <w:rPr>
          <w:rFonts w:cs="DejaVu Sans Condensed"/>
          <w:w w:val="0"/>
          <w:sz w:val="16"/>
          <w:szCs w:val="16"/>
          <w:lang w:val="en-US"/>
        </w:rPr>
      </w:pPr>
      <w:r>
        <w:rPr>
          <w:rFonts w:cs="DejaVu Sans Condensed"/>
          <w:w w:val="105"/>
          <w:sz w:val="16"/>
          <w:szCs w:val="16"/>
          <w:lang w:val="en-US"/>
        </w:rPr>
        <w:t>1.2.1 Administrative Service Fee</w:t>
      </w:r>
    </w:p>
    <w:p w:rsidR="000C02E7" w:rsidRDefault="000C02E7" w:rsidP="000C02E7">
      <w:pPr>
        <w:widowControl w:val="0"/>
        <w:spacing w:before="33" w:line="276" w:lineRule="auto"/>
        <w:ind w:left="106" w:right="125"/>
        <w:jc w:val="both"/>
        <w:rPr>
          <w:rFonts w:cs="DejaVu Sans Condensed"/>
          <w:w w:val="0"/>
          <w:sz w:val="16"/>
          <w:szCs w:val="16"/>
          <w:lang w:val="en-US"/>
        </w:rPr>
      </w:pPr>
      <w:r>
        <w:rPr>
          <w:rFonts w:cs="DejaVu Sans Condensed"/>
          <w:w w:val="105"/>
          <w:sz w:val="16"/>
          <w:szCs w:val="16"/>
          <w:lang w:val="en-US"/>
        </w:rPr>
        <w:t xml:space="preserve">It is the fee which is calculated by the </w:t>
      </w:r>
      <w:r w:rsidR="004177AA">
        <w:rPr>
          <w:rFonts w:cs="DejaVu Sans Condensed"/>
          <w:w w:val="105"/>
          <w:sz w:val="16"/>
          <w:szCs w:val="16"/>
          <w:lang w:val="en-US"/>
        </w:rPr>
        <w:t>IRNAC</w:t>
      </w:r>
      <w:r w:rsidR="00672765">
        <w:rPr>
          <w:rFonts w:cs="DejaVu Sans Condensed"/>
          <w:w w:val="105"/>
          <w:sz w:val="16"/>
          <w:szCs w:val="16"/>
          <w:lang w:val="en-US"/>
        </w:rPr>
        <w:t>.</w:t>
      </w:r>
      <w:r w:rsidR="00A44049">
        <w:rPr>
          <w:rFonts w:cs="DejaVu Sans Condensed"/>
          <w:w w:val="105"/>
          <w:sz w:val="16"/>
          <w:szCs w:val="16"/>
          <w:lang w:val="en-US"/>
        </w:rPr>
        <w:t xml:space="preserve"> </w:t>
      </w:r>
      <w:r>
        <w:rPr>
          <w:rFonts w:cs="DejaVu Sans Condensed"/>
          <w:w w:val="105"/>
          <w:sz w:val="16"/>
          <w:szCs w:val="16"/>
          <w:lang w:val="en-US"/>
        </w:rPr>
        <w:t xml:space="preserve">Case Officer, taking into account the time spent on all kinds of administrative activities (checking the availability of documents for the demanded scope such as quality manuals, procedures, etc. given to </w:t>
      </w:r>
      <w:r w:rsidR="004177AA">
        <w:rPr>
          <w:rFonts w:cs="DejaVu Sans Condensed"/>
          <w:w w:val="105"/>
          <w:sz w:val="16"/>
          <w:szCs w:val="16"/>
          <w:lang w:val="en-US"/>
        </w:rPr>
        <w:t>IRNAC</w:t>
      </w:r>
      <w:r w:rsidR="00A44049">
        <w:rPr>
          <w:rFonts w:cs="DejaVu Sans Condensed"/>
          <w:w w:val="105"/>
          <w:sz w:val="16"/>
          <w:szCs w:val="16"/>
          <w:lang w:val="en-US"/>
        </w:rPr>
        <w:t xml:space="preserve"> </w:t>
      </w:r>
      <w:r>
        <w:rPr>
          <w:rFonts w:cs="DejaVu Sans Condensed"/>
          <w:w w:val="105"/>
          <w:sz w:val="16"/>
          <w:szCs w:val="16"/>
          <w:lang w:val="en-US"/>
        </w:rPr>
        <w:t>in accordance with the  relevant accreditation procedures, forming the assessment team for assessment, surveillance, follow-up, changes in scope, determining the assessment schedule, all kinds of administrative activities prior to and following the assessment) required for the accreditation application or to maintain the accreditation of accredited</w:t>
      </w:r>
      <w:r>
        <w:rPr>
          <w:rFonts w:cs="DejaVu Sans Condensed"/>
          <w:spacing w:val="17"/>
          <w:w w:val="105"/>
          <w:sz w:val="16"/>
          <w:szCs w:val="16"/>
          <w:lang w:val="en-US"/>
        </w:rPr>
        <w:t xml:space="preserve"> </w:t>
      </w:r>
      <w:r>
        <w:rPr>
          <w:rFonts w:cs="DejaVu Sans Condensed"/>
          <w:w w:val="105"/>
          <w:sz w:val="16"/>
          <w:szCs w:val="16"/>
          <w:lang w:val="en-US"/>
        </w:rPr>
        <w:t>bodies.</w:t>
      </w:r>
    </w:p>
    <w:p w:rsidR="000C02E7" w:rsidRDefault="000C02E7" w:rsidP="000C02E7">
      <w:pPr>
        <w:widowControl w:val="0"/>
        <w:spacing w:before="8"/>
        <w:rPr>
          <w:rFonts w:cs="DejaVu Sans Condensed"/>
          <w:w w:val="0"/>
          <w:sz w:val="15"/>
          <w:szCs w:val="15"/>
          <w:lang w:val="en-US"/>
        </w:rPr>
      </w:pPr>
    </w:p>
    <w:p w:rsidR="000C02E7" w:rsidRDefault="000C02E7" w:rsidP="000C02E7">
      <w:pPr>
        <w:widowControl w:val="0"/>
        <w:spacing w:line="276" w:lineRule="auto"/>
        <w:ind w:left="106" w:right="127"/>
        <w:jc w:val="both"/>
        <w:rPr>
          <w:rFonts w:cs="DejaVu Sans Condensed"/>
          <w:w w:val="0"/>
          <w:sz w:val="16"/>
          <w:szCs w:val="16"/>
          <w:lang w:val="en-US"/>
        </w:rPr>
      </w:pPr>
      <w:r>
        <w:rPr>
          <w:rFonts w:cs="DejaVu Sans Condensed"/>
          <w:w w:val="105"/>
          <w:sz w:val="16"/>
          <w:szCs w:val="16"/>
          <w:lang w:val="en-US"/>
        </w:rPr>
        <w:t xml:space="preserve">Administrative Service Fee is calculated by multiplying the number of days spent by the </w:t>
      </w:r>
      <w:r w:rsidR="00C63BE8">
        <w:rPr>
          <w:rFonts w:cs="DejaVu Sans Condensed"/>
          <w:w w:val="105"/>
          <w:sz w:val="16"/>
          <w:szCs w:val="16"/>
          <w:lang w:val="en-US"/>
        </w:rPr>
        <w:t>IRNAC</w:t>
      </w:r>
      <w:r w:rsidR="001F6519">
        <w:rPr>
          <w:rFonts w:cs="DejaVu Sans Condensed"/>
          <w:w w:val="105"/>
          <w:sz w:val="16"/>
          <w:szCs w:val="16"/>
          <w:lang w:val="en-US"/>
        </w:rPr>
        <w:t>.</w:t>
      </w:r>
      <w:r w:rsidR="00A44049">
        <w:rPr>
          <w:rFonts w:cs="DejaVu Sans Condensed"/>
          <w:w w:val="105"/>
          <w:sz w:val="16"/>
          <w:szCs w:val="16"/>
          <w:lang w:val="en-US"/>
        </w:rPr>
        <w:t xml:space="preserve"> </w:t>
      </w:r>
      <w:r>
        <w:rPr>
          <w:rFonts w:cs="DejaVu Sans Condensed"/>
          <w:w w:val="105"/>
          <w:sz w:val="16"/>
          <w:szCs w:val="16"/>
          <w:lang w:val="en-US"/>
        </w:rPr>
        <w:t>Case Officer on any administrative activity required for accreditation by the Unit Fee of Administrative Service.</w:t>
      </w:r>
    </w:p>
    <w:p w:rsidR="000C02E7" w:rsidRDefault="000C02E7" w:rsidP="000C02E7">
      <w:pPr>
        <w:widowControl w:val="0"/>
        <w:spacing w:before="10"/>
        <w:rPr>
          <w:rFonts w:cs="DejaVu Sans Condensed"/>
          <w:w w:val="0"/>
          <w:sz w:val="15"/>
          <w:szCs w:val="15"/>
          <w:lang w:val="en-US"/>
        </w:rPr>
      </w:pPr>
    </w:p>
    <w:p w:rsidR="000C02E7" w:rsidRDefault="000C02E7" w:rsidP="00F44DC7">
      <w:pPr>
        <w:widowControl w:val="0"/>
        <w:ind w:left="106"/>
        <w:rPr>
          <w:rFonts w:cs="DejaVu Sans Condensed"/>
          <w:w w:val="0"/>
          <w:sz w:val="16"/>
          <w:szCs w:val="16"/>
          <w:lang w:val="en-US"/>
        </w:rPr>
      </w:pPr>
      <w:r>
        <w:rPr>
          <w:rFonts w:cs="DejaVu Sans Condensed"/>
          <w:w w:val="105"/>
          <w:sz w:val="16"/>
          <w:szCs w:val="16"/>
          <w:lang w:val="en-US"/>
        </w:rPr>
        <w:t>For accreditation assessment, the work (administrative service) of the Case Officer prior to and following the assessment visit is minimum1.0 person/day. The administrative service period required for re-assessment, surveillance assessment, pre-assessment, scope extension/change assessments shall not exceed the accreditation assessment period.</w:t>
      </w:r>
    </w:p>
    <w:p w:rsidR="000C02E7" w:rsidRDefault="000C02E7" w:rsidP="000C02E7">
      <w:pPr>
        <w:widowControl w:val="0"/>
        <w:spacing w:before="9"/>
        <w:rPr>
          <w:rFonts w:cs="DejaVu Sans Condensed"/>
          <w:w w:val="0"/>
          <w:sz w:val="15"/>
          <w:szCs w:val="15"/>
          <w:lang w:val="en-US"/>
        </w:rPr>
      </w:pPr>
    </w:p>
    <w:p w:rsidR="000C02E7" w:rsidRDefault="000C02E7" w:rsidP="000C02E7">
      <w:pPr>
        <w:widowControl w:val="0"/>
        <w:spacing w:before="1"/>
        <w:ind w:left="106"/>
        <w:rPr>
          <w:rFonts w:cs="DejaVu Sans Condensed"/>
          <w:w w:val="0"/>
          <w:sz w:val="16"/>
          <w:szCs w:val="16"/>
          <w:lang w:val="en-US"/>
        </w:rPr>
      </w:pPr>
      <w:r>
        <w:rPr>
          <w:rFonts w:cs="DejaVu Sans Condensed"/>
          <w:w w:val="105"/>
          <w:sz w:val="16"/>
          <w:szCs w:val="16"/>
          <w:u w:val="single"/>
          <w:lang w:val="en-US"/>
        </w:rPr>
        <w:t>Administrati</w:t>
      </w:r>
      <w:r w:rsidR="006551BF">
        <w:rPr>
          <w:rFonts w:cs="DejaVu Sans Condensed"/>
          <w:w w:val="105"/>
          <w:sz w:val="16"/>
          <w:szCs w:val="16"/>
          <w:u w:val="single"/>
          <w:lang w:val="en-US"/>
        </w:rPr>
        <w:t>ve Service Fee (Person/Day): $40</w:t>
      </w:r>
      <w:r>
        <w:rPr>
          <w:rFonts w:cs="DejaVu Sans Condensed"/>
          <w:w w:val="105"/>
          <w:sz w:val="16"/>
          <w:szCs w:val="16"/>
          <w:u w:val="single"/>
          <w:lang w:val="en-US"/>
        </w:rPr>
        <w:t>0</w:t>
      </w:r>
    </w:p>
    <w:p w:rsidR="000C02E7" w:rsidRDefault="000C02E7" w:rsidP="000C02E7">
      <w:pPr>
        <w:widowControl w:val="0"/>
        <w:spacing w:before="8"/>
        <w:rPr>
          <w:rFonts w:cs="DejaVu Sans Condensed"/>
          <w:w w:val="0"/>
          <w:sz w:val="9"/>
          <w:szCs w:val="9"/>
          <w:lang w:val="en-US"/>
        </w:rPr>
      </w:pPr>
    </w:p>
    <w:p w:rsidR="000C02E7" w:rsidRDefault="000C02E7" w:rsidP="000C02E7">
      <w:pPr>
        <w:widowControl w:val="0"/>
        <w:tabs>
          <w:tab w:val="left" w:pos="688"/>
        </w:tabs>
        <w:spacing w:before="105"/>
        <w:ind w:left="687" w:hanging="582"/>
        <w:jc w:val="both"/>
        <w:rPr>
          <w:rFonts w:cs="DejaVu Sans Condensed"/>
          <w:w w:val="0"/>
          <w:sz w:val="16"/>
          <w:szCs w:val="16"/>
          <w:lang w:val="en-US"/>
        </w:rPr>
      </w:pPr>
      <w:r>
        <w:rPr>
          <w:rFonts w:cs="DejaVu Sans Condensed"/>
          <w:w w:val="103"/>
          <w:sz w:val="16"/>
          <w:szCs w:val="16"/>
          <w:lang w:val="en-US"/>
        </w:rPr>
        <w:t>1.2.3.</w:t>
      </w:r>
      <w:r>
        <w:rPr>
          <w:rFonts w:cs="DejaVu Sans Condensed"/>
          <w:w w:val="103"/>
          <w:sz w:val="16"/>
          <w:szCs w:val="16"/>
          <w:lang w:val="en-US"/>
        </w:rPr>
        <w:tab/>
      </w:r>
      <w:r>
        <w:rPr>
          <w:rFonts w:cs="DejaVu Sans Condensed"/>
          <w:w w:val="105"/>
          <w:sz w:val="16"/>
          <w:szCs w:val="16"/>
          <w:lang w:val="en-US"/>
        </w:rPr>
        <w:t>Document Review</w:t>
      </w:r>
      <w:r>
        <w:rPr>
          <w:rFonts w:cs="DejaVu Sans Condensed"/>
          <w:spacing w:val="6"/>
          <w:w w:val="105"/>
          <w:sz w:val="16"/>
          <w:szCs w:val="16"/>
          <w:lang w:val="en-US"/>
        </w:rPr>
        <w:t xml:space="preserve"> </w:t>
      </w:r>
      <w:r>
        <w:rPr>
          <w:rFonts w:cs="DejaVu Sans Condensed"/>
          <w:w w:val="105"/>
          <w:sz w:val="16"/>
          <w:szCs w:val="16"/>
          <w:lang w:val="en-US"/>
        </w:rPr>
        <w:t>Fee</w:t>
      </w:r>
    </w:p>
    <w:p w:rsidR="000C02E7" w:rsidRDefault="000C02E7" w:rsidP="000C02E7">
      <w:pPr>
        <w:widowControl w:val="0"/>
        <w:spacing w:before="33" w:line="276" w:lineRule="auto"/>
        <w:ind w:left="106" w:right="125"/>
        <w:jc w:val="both"/>
        <w:rPr>
          <w:rFonts w:cs="DejaVu Sans Condensed"/>
          <w:w w:val="0"/>
          <w:sz w:val="16"/>
          <w:szCs w:val="16"/>
          <w:lang w:val="en-US"/>
        </w:rPr>
      </w:pPr>
      <w:r>
        <w:rPr>
          <w:rFonts w:cs="DejaVu Sans Condensed"/>
          <w:w w:val="105"/>
          <w:sz w:val="16"/>
          <w:szCs w:val="16"/>
          <w:lang w:val="en-US"/>
        </w:rPr>
        <w:t>It is the fee charged in the initial accreditation application for the assessment team to review the required application documents and determine whether an on-site assessment can be performed. Where necessary, the assessment team shall review the CAB documents to determine whether there is anything inhibiting the processes of scope-extension assessment, surveillance assessment and re-assessment, and this service is charged accordingly.</w:t>
      </w:r>
    </w:p>
    <w:p w:rsidR="000C02E7" w:rsidRDefault="000C02E7" w:rsidP="000C02E7">
      <w:pPr>
        <w:widowControl w:val="0"/>
        <w:spacing w:before="9"/>
        <w:rPr>
          <w:rFonts w:cs="DejaVu Sans Condensed"/>
          <w:w w:val="0"/>
          <w:sz w:val="15"/>
          <w:szCs w:val="15"/>
          <w:lang w:val="en-US"/>
        </w:rPr>
      </w:pPr>
    </w:p>
    <w:p w:rsidR="000C02E7" w:rsidRDefault="000C02E7" w:rsidP="000C02E7">
      <w:pPr>
        <w:widowControl w:val="0"/>
        <w:ind w:left="106"/>
        <w:jc w:val="both"/>
        <w:rPr>
          <w:rFonts w:cs="DejaVu Sans Condensed"/>
          <w:w w:val="0"/>
          <w:sz w:val="16"/>
          <w:szCs w:val="16"/>
          <w:lang w:val="en-US"/>
        </w:rPr>
      </w:pPr>
      <w:r>
        <w:rPr>
          <w:rFonts w:cs="DejaVu Sans Condensed"/>
          <w:w w:val="105"/>
          <w:sz w:val="16"/>
          <w:szCs w:val="16"/>
          <w:u w:val="single"/>
          <w:lang w:val="en-US"/>
        </w:rPr>
        <w:t xml:space="preserve">Document Review Fee (person/day): </w:t>
      </w:r>
      <w:r w:rsidR="006551BF">
        <w:rPr>
          <w:rFonts w:cs="DejaVu Sans Condensed"/>
          <w:w w:val="105"/>
          <w:sz w:val="16"/>
          <w:szCs w:val="16"/>
          <w:lang w:val="en-US"/>
        </w:rPr>
        <w:t>$80</w:t>
      </w:r>
      <w:r>
        <w:rPr>
          <w:rFonts w:cs="DejaVu Sans Condensed"/>
          <w:w w:val="105"/>
          <w:sz w:val="16"/>
          <w:szCs w:val="16"/>
          <w:lang w:val="en-US"/>
        </w:rPr>
        <w:t>0</w:t>
      </w:r>
    </w:p>
    <w:p w:rsidR="000C02E7" w:rsidRDefault="000C02E7" w:rsidP="000C02E7">
      <w:pPr>
        <w:widowControl w:val="0"/>
        <w:spacing w:before="8"/>
        <w:rPr>
          <w:rFonts w:cs="DejaVu Sans Condensed"/>
          <w:w w:val="0"/>
          <w:sz w:val="18"/>
          <w:szCs w:val="18"/>
          <w:lang w:val="en-US"/>
        </w:rPr>
      </w:pPr>
    </w:p>
    <w:p w:rsidR="000C02E7" w:rsidRDefault="000C02E7" w:rsidP="000C02E7">
      <w:pPr>
        <w:widowControl w:val="0"/>
        <w:tabs>
          <w:tab w:val="left" w:pos="688"/>
        </w:tabs>
        <w:ind w:left="687" w:hanging="582"/>
        <w:jc w:val="both"/>
        <w:rPr>
          <w:rFonts w:cs="DejaVu Sans Condensed"/>
          <w:w w:val="0"/>
          <w:sz w:val="16"/>
          <w:szCs w:val="16"/>
          <w:lang w:val="en-US"/>
        </w:rPr>
      </w:pPr>
      <w:r>
        <w:rPr>
          <w:rFonts w:cs="DejaVu Sans Condensed"/>
          <w:w w:val="103"/>
          <w:sz w:val="16"/>
          <w:szCs w:val="16"/>
          <w:lang w:val="en-US"/>
        </w:rPr>
        <w:t>1.2.4.</w:t>
      </w:r>
      <w:r>
        <w:rPr>
          <w:rFonts w:cs="DejaVu Sans Condensed"/>
          <w:w w:val="103"/>
          <w:sz w:val="16"/>
          <w:szCs w:val="16"/>
          <w:lang w:val="en-US"/>
        </w:rPr>
        <w:tab/>
      </w:r>
      <w:r>
        <w:rPr>
          <w:rFonts w:cs="DejaVu Sans Condensed"/>
          <w:w w:val="105"/>
          <w:sz w:val="16"/>
          <w:szCs w:val="16"/>
          <w:lang w:val="en-US"/>
        </w:rPr>
        <w:t>Assessment</w:t>
      </w:r>
      <w:r>
        <w:rPr>
          <w:rFonts w:cs="DejaVu Sans Condensed"/>
          <w:spacing w:val="2"/>
          <w:w w:val="105"/>
          <w:sz w:val="16"/>
          <w:szCs w:val="16"/>
          <w:lang w:val="en-US"/>
        </w:rPr>
        <w:t xml:space="preserve"> </w:t>
      </w:r>
      <w:r>
        <w:rPr>
          <w:rFonts w:cs="DejaVu Sans Condensed"/>
          <w:w w:val="105"/>
          <w:sz w:val="16"/>
          <w:szCs w:val="16"/>
          <w:lang w:val="en-US"/>
        </w:rPr>
        <w:t>Fee</w:t>
      </w:r>
    </w:p>
    <w:p w:rsidR="000C02E7" w:rsidRDefault="000C02E7" w:rsidP="000C02E7">
      <w:pPr>
        <w:widowControl w:val="0"/>
        <w:spacing w:before="34" w:line="276" w:lineRule="auto"/>
        <w:ind w:left="106" w:right="127"/>
        <w:jc w:val="both"/>
        <w:rPr>
          <w:rFonts w:cs="DejaVu Sans Condensed"/>
          <w:w w:val="0"/>
          <w:sz w:val="16"/>
          <w:szCs w:val="16"/>
          <w:lang w:val="en-US"/>
        </w:rPr>
      </w:pPr>
      <w:r>
        <w:rPr>
          <w:rFonts w:cs="DejaVu Sans Condensed"/>
          <w:w w:val="105"/>
          <w:sz w:val="16"/>
          <w:szCs w:val="16"/>
          <w:lang w:val="en-US"/>
        </w:rPr>
        <w:t>It is the fee calculated by considering the number of days spent and number of assessors/technical experts needed for the preliminary preparations made by the assessment team for pre-assessment, initial assessment, follow-up assessment, surveillance assessment, scope extension assessment and re-assessment performed during the accreditation granting, maintaining and renewal period, including the period for on-site assessment, reporting, and evaluation of corrective actions.</w:t>
      </w:r>
    </w:p>
    <w:p w:rsidR="000C02E7" w:rsidRDefault="000C02E7" w:rsidP="000C02E7">
      <w:pPr>
        <w:widowControl w:val="0"/>
        <w:spacing w:before="8"/>
        <w:rPr>
          <w:rFonts w:cs="DejaVu Sans Condensed"/>
          <w:w w:val="0"/>
          <w:sz w:val="15"/>
          <w:szCs w:val="15"/>
          <w:lang w:val="en-US"/>
        </w:rPr>
      </w:pPr>
    </w:p>
    <w:p w:rsidR="000C02E7" w:rsidRDefault="000C02E7" w:rsidP="00DE665F">
      <w:pPr>
        <w:widowControl w:val="0"/>
        <w:spacing w:line="516" w:lineRule="auto"/>
        <w:ind w:left="106" w:right="2035"/>
        <w:jc w:val="both"/>
        <w:rPr>
          <w:rFonts w:cs="DejaVu Sans Condensed"/>
          <w:w w:val="0"/>
          <w:sz w:val="16"/>
          <w:szCs w:val="16"/>
          <w:lang w:val="en-US"/>
        </w:rPr>
      </w:pPr>
      <w:r>
        <w:rPr>
          <w:rFonts w:cs="DejaVu Sans Condensed"/>
          <w:w w:val="105"/>
          <w:sz w:val="16"/>
          <w:szCs w:val="16"/>
          <w:lang w:val="en-US"/>
        </w:rPr>
        <w:t xml:space="preserve">This fee does not include food, accommodation and travel expenses of the assessment team. </w:t>
      </w:r>
      <w:r>
        <w:rPr>
          <w:rFonts w:cs="DejaVu Sans Condensed"/>
          <w:w w:val="105"/>
          <w:sz w:val="16"/>
          <w:szCs w:val="16"/>
          <w:u w:val="single"/>
          <w:lang w:val="en-US"/>
        </w:rPr>
        <w:t>Daily Fee of an A</w:t>
      </w:r>
      <w:r w:rsidR="00DE665F">
        <w:rPr>
          <w:rFonts w:cs="DejaVu Sans Condensed"/>
          <w:w w:val="105"/>
          <w:sz w:val="16"/>
          <w:szCs w:val="16"/>
          <w:u w:val="single"/>
          <w:lang w:val="en-US"/>
        </w:rPr>
        <w:t>ssessor (person/day): Domestic</w:t>
      </w:r>
      <w:proofErr w:type="gramStart"/>
      <w:r w:rsidR="00DE665F">
        <w:rPr>
          <w:rFonts w:cs="DejaVu Sans Condensed"/>
          <w:w w:val="105"/>
          <w:sz w:val="16"/>
          <w:szCs w:val="16"/>
          <w:u w:val="single"/>
          <w:lang w:val="en-US"/>
        </w:rPr>
        <w:t>:</w:t>
      </w:r>
      <w:r w:rsidR="006551BF">
        <w:rPr>
          <w:rFonts w:cs="DejaVu Sans Condensed"/>
          <w:w w:val="105"/>
          <w:sz w:val="16"/>
          <w:szCs w:val="16"/>
          <w:u w:val="single"/>
          <w:lang w:val="en-US"/>
        </w:rPr>
        <w:t>$</w:t>
      </w:r>
      <w:proofErr w:type="gramEnd"/>
      <w:r w:rsidR="006551BF">
        <w:rPr>
          <w:rFonts w:cs="DejaVu Sans Condensed"/>
          <w:w w:val="105"/>
          <w:sz w:val="16"/>
          <w:szCs w:val="16"/>
          <w:u w:val="single"/>
          <w:lang w:val="en-US"/>
        </w:rPr>
        <w:t>80</w:t>
      </w:r>
      <w:r>
        <w:rPr>
          <w:rFonts w:cs="DejaVu Sans Condensed"/>
          <w:w w:val="105"/>
          <w:sz w:val="16"/>
          <w:szCs w:val="16"/>
          <w:u w:val="single"/>
          <w:lang w:val="en-US"/>
        </w:rPr>
        <w:t>0</w:t>
      </w:r>
    </w:p>
    <w:p w:rsidR="000C02E7" w:rsidRDefault="000C02E7" w:rsidP="000C02E7">
      <w:pPr>
        <w:widowControl w:val="0"/>
        <w:spacing w:before="7"/>
        <w:rPr>
          <w:rFonts w:cs="DejaVu Sans Condensed"/>
          <w:w w:val="0"/>
          <w:sz w:val="14"/>
          <w:szCs w:val="14"/>
          <w:lang w:val="en-US"/>
        </w:rPr>
      </w:pPr>
    </w:p>
    <w:p w:rsidR="000C02E7" w:rsidRDefault="000C02E7" w:rsidP="000C02E7">
      <w:pPr>
        <w:widowControl w:val="0"/>
        <w:spacing w:before="1" w:line="276" w:lineRule="auto"/>
        <w:ind w:left="106" w:right="124"/>
        <w:jc w:val="both"/>
        <w:rPr>
          <w:rFonts w:cs="DejaVu Sans Condensed"/>
          <w:w w:val="0"/>
          <w:sz w:val="16"/>
          <w:szCs w:val="16"/>
          <w:lang w:val="en-US"/>
        </w:rPr>
      </w:pPr>
      <w:r>
        <w:rPr>
          <w:rFonts w:cs="DejaVu Sans Condensed"/>
          <w:w w:val="105"/>
          <w:sz w:val="16"/>
          <w:szCs w:val="16"/>
          <w:lang w:val="en-US"/>
        </w:rPr>
        <w:t xml:space="preserve">In areas that require special expertise and where there is difficulty in finding an assessor/technical expert, an assessor/technical expert may be assigned from abroad. In the event that the fee calculated together with the fees paid to the assessor/technical expert exceeds the Assessment Unit Fee due to the varying fees of assessors assigned from abroad, upon receiving the approval of CAB, </w:t>
      </w:r>
      <w:r w:rsidR="00B76CFF">
        <w:rPr>
          <w:rFonts w:cs="DejaVu Sans Condensed"/>
          <w:w w:val="105"/>
          <w:sz w:val="16"/>
          <w:szCs w:val="16"/>
          <w:lang w:val="en-US"/>
        </w:rPr>
        <w:t>IRNAC</w:t>
      </w:r>
      <w:r w:rsidR="00A44049">
        <w:rPr>
          <w:rFonts w:cs="DejaVu Sans Condensed"/>
          <w:w w:val="105"/>
          <w:sz w:val="16"/>
          <w:szCs w:val="16"/>
          <w:lang w:val="en-US"/>
        </w:rPr>
        <w:t xml:space="preserve"> </w:t>
      </w:r>
      <w:r>
        <w:rPr>
          <w:rFonts w:cs="DejaVu Sans Condensed"/>
          <w:w w:val="105"/>
          <w:sz w:val="16"/>
          <w:szCs w:val="16"/>
          <w:lang w:val="en-US"/>
        </w:rPr>
        <w:t>shall calculate the fee difference and invoices CAB accordingly.</w:t>
      </w:r>
    </w:p>
    <w:p w:rsidR="000C02E7" w:rsidRDefault="000C02E7" w:rsidP="000C02E7">
      <w:pPr>
        <w:widowControl w:val="0"/>
        <w:spacing w:before="8"/>
        <w:rPr>
          <w:rFonts w:cs="DejaVu Sans Condensed"/>
          <w:w w:val="0"/>
          <w:sz w:val="15"/>
          <w:szCs w:val="15"/>
          <w:lang w:val="en-US"/>
        </w:rPr>
      </w:pPr>
    </w:p>
    <w:p w:rsidR="000C02E7" w:rsidRDefault="000C02E7" w:rsidP="000C02E7">
      <w:pPr>
        <w:widowControl w:val="0"/>
        <w:tabs>
          <w:tab w:val="left" w:pos="688"/>
        </w:tabs>
        <w:ind w:left="687" w:hanging="582"/>
        <w:rPr>
          <w:rFonts w:cs="DejaVu Sans Condensed"/>
          <w:w w:val="0"/>
          <w:sz w:val="16"/>
          <w:szCs w:val="16"/>
          <w:lang w:val="en-US"/>
        </w:rPr>
      </w:pPr>
      <w:r>
        <w:rPr>
          <w:rFonts w:cs="DejaVu Sans Condensed"/>
          <w:w w:val="103"/>
          <w:sz w:val="16"/>
          <w:szCs w:val="16"/>
          <w:lang w:val="en-US"/>
        </w:rPr>
        <w:t>1.2.5.</w:t>
      </w:r>
      <w:r>
        <w:rPr>
          <w:rFonts w:cs="DejaVu Sans Condensed"/>
          <w:w w:val="103"/>
          <w:sz w:val="16"/>
          <w:szCs w:val="16"/>
          <w:lang w:val="en-US"/>
        </w:rPr>
        <w:tab/>
      </w:r>
      <w:r>
        <w:rPr>
          <w:rFonts w:cs="DejaVu Sans Condensed"/>
          <w:w w:val="105"/>
          <w:sz w:val="16"/>
          <w:szCs w:val="16"/>
          <w:lang w:val="en-US"/>
        </w:rPr>
        <w:t>Assessment Team and Case Officer</w:t>
      </w:r>
      <w:r>
        <w:rPr>
          <w:rFonts w:cs="DejaVu Sans Condensed"/>
          <w:spacing w:val="12"/>
          <w:w w:val="105"/>
          <w:sz w:val="16"/>
          <w:szCs w:val="16"/>
          <w:lang w:val="en-US"/>
        </w:rPr>
        <w:t xml:space="preserve"> </w:t>
      </w:r>
      <w:r>
        <w:rPr>
          <w:rFonts w:cs="DejaVu Sans Condensed"/>
          <w:w w:val="105"/>
          <w:sz w:val="16"/>
          <w:szCs w:val="16"/>
          <w:lang w:val="en-US"/>
        </w:rPr>
        <w:t>Expenses</w:t>
      </w:r>
    </w:p>
    <w:p w:rsidR="000C02E7" w:rsidRDefault="000C02E7" w:rsidP="000C02E7">
      <w:pPr>
        <w:widowControl w:val="0"/>
        <w:spacing w:before="34" w:line="276" w:lineRule="auto"/>
        <w:ind w:left="106" w:right="127"/>
        <w:jc w:val="both"/>
        <w:rPr>
          <w:rFonts w:cs="DejaVu Sans Condensed"/>
          <w:w w:val="0"/>
          <w:sz w:val="16"/>
          <w:szCs w:val="16"/>
          <w:lang w:val="en-US"/>
        </w:rPr>
      </w:pPr>
      <w:r>
        <w:rPr>
          <w:rFonts w:cs="DejaVu Sans Condensed"/>
          <w:w w:val="105"/>
          <w:sz w:val="16"/>
          <w:szCs w:val="16"/>
          <w:lang w:val="en-US"/>
        </w:rPr>
        <w:t>These expenses are the total cost of the food, accommodation and travel expenses of the assessment team incurred during the assessment period. These expenses shall be covered by the body applying for accreditation.</w:t>
      </w:r>
    </w:p>
    <w:p w:rsidR="000C02E7" w:rsidRDefault="000C02E7" w:rsidP="000C02E7">
      <w:pPr>
        <w:widowControl w:val="0"/>
        <w:spacing w:before="9"/>
        <w:rPr>
          <w:rFonts w:cs="DejaVu Sans Condensed"/>
          <w:w w:val="0"/>
          <w:sz w:val="15"/>
          <w:szCs w:val="15"/>
          <w:lang w:val="en-US"/>
        </w:rPr>
      </w:pPr>
    </w:p>
    <w:p w:rsidR="000C02E7" w:rsidRDefault="000C02E7" w:rsidP="000C02E7">
      <w:pPr>
        <w:widowControl w:val="0"/>
        <w:tabs>
          <w:tab w:val="left" w:pos="688"/>
        </w:tabs>
        <w:ind w:left="687" w:hanging="582"/>
        <w:rPr>
          <w:rFonts w:cs="DejaVu Sans Condensed"/>
          <w:w w:val="0"/>
          <w:sz w:val="16"/>
          <w:szCs w:val="16"/>
          <w:lang w:val="en-US"/>
        </w:rPr>
      </w:pPr>
      <w:r>
        <w:rPr>
          <w:rFonts w:cs="DejaVu Sans Condensed"/>
          <w:w w:val="103"/>
          <w:sz w:val="16"/>
          <w:szCs w:val="16"/>
          <w:lang w:val="en-US"/>
        </w:rPr>
        <w:t>1.2.6.</w:t>
      </w:r>
      <w:r>
        <w:rPr>
          <w:rFonts w:cs="DejaVu Sans Condensed"/>
          <w:w w:val="103"/>
          <w:sz w:val="16"/>
          <w:szCs w:val="16"/>
          <w:lang w:val="en-US"/>
        </w:rPr>
        <w:tab/>
      </w:r>
      <w:r>
        <w:rPr>
          <w:rFonts w:cs="DejaVu Sans Condensed"/>
          <w:w w:val="105"/>
          <w:sz w:val="16"/>
          <w:szCs w:val="16"/>
          <w:lang w:val="en-US"/>
        </w:rPr>
        <w:t>Fees for Subcontracted Accreditation Services in APAC-MLA</w:t>
      </w:r>
      <w:r>
        <w:rPr>
          <w:rFonts w:cs="DejaVu Sans Condensed"/>
          <w:spacing w:val="17"/>
          <w:w w:val="105"/>
          <w:sz w:val="16"/>
          <w:szCs w:val="16"/>
          <w:lang w:val="en-US"/>
        </w:rPr>
        <w:t xml:space="preserve"> </w:t>
      </w:r>
      <w:r>
        <w:rPr>
          <w:rFonts w:cs="DejaVu Sans Condensed"/>
          <w:w w:val="105"/>
          <w:sz w:val="16"/>
          <w:szCs w:val="16"/>
          <w:lang w:val="en-US"/>
        </w:rPr>
        <w:t>region</w:t>
      </w:r>
    </w:p>
    <w:p w:rsidR="000C02E7" w:rsidRDefault="000C02E7" w:rsidP="000C02E7">
      <w:pPr>
        <w:widowControl w:val="0"/>
        <w:spacing w:before="33" w:line="276" w:lineRule="auto"/>
        <w:ind w:left="106" w:right="126"/>
        <w:jc w:val="both"/>
        <w:rPr>
          <w:rFonts w:cs="DejaVu Sans Condensed"/>
          <w:w w:val="0"/>
          <w:sz w:val="16"/>
          <w:szCs w:val="16"/>
          <w:lang w:val="en-US"/>
        </w:rPr>
      </w:pPr>
      <w:r>
        <w:rPr>
          <w:rFonts w:cs="DejaVu Sans Condensed"/>
          <w:w w:val="105"/>
          <w:sz w:val="16"/>
          <w:szCs w:val="16"/>
          <w:lang w:val="en-US"/>
        </w:rPr>
        <w:t xml:space="preserve">If requested within the framework of the International Accreditation Rules and when agreed with the relevant parties, </w:t>
      </w:r>
      <w:r w:rsidR="00B76CFF">
        <w:rPr>
          <w:rFonts w:cs="DejaVu Sans Condensed"/>
          <w:w w:val="105"/>
          <w:sz w:val="16"/>
          <w:szCs w:val="16"/>
          <w:lang w:val="en-US"/>
        </w:rPr>
        <w:t>IRNAC</w:t>
      </w:r>
      <w:r w:rsidR="00A44049">
        <w:rPr>
          <w:rFonts w:cs="DejaVu Sans Condensed"/>
          <w:w w:val="105"/>
          <w:sz w:val="16"/>
          <w:szCs w:val="16"/>
          <w:lang w:val="en-US"/>
        </w:rPr>
        <w:t xml:space="preserve"> </w:t>
      </w:r>
      <w:r>
        <w:rPr>
          <w:rFonts w:cs="DejaVu Sans Condensed"/>
          <w:w w:val="105"/>
          <w:sz w:val="16"/>
          <w:szCs w:val="16"/>
          <w:lang w:val="en-US"/>
        </w:rPr>
        <w:t>shall assess CABs as a subcontractor in the following cases:</w:t>
      </w:r>
    </w:p>
    <w:p w:rsidR="000C02E7" w:rsidRDefault="000C02E7" w:rsidP="000C02E7">
      <w:pPr>
        <w:widowControl w:val="0"/>
        <w:spacing w:before="10"/>
        <w:rPr>
          <w:rFonts w:cs="DejaVu Sans Condensed"/>
          <w:w w:val="0"/>
          <w:sz w:val="15"/>
          <w:szCs w:val="15"/>
          <w:lang w:val="en-US"/>
        </w:rPr>
      </w:pPr>
    </w:p>
    <w:p w:rsidR="000C02E7" w:rsidRDefault="000C02E7" w:rsidP="000C02E7">
      <w:pPr>
        <w:widowControl w:val="0"/>
        <w:spacing w:line="276" w:lineRule="auto"/>
        <w:ind w:left="106" w:right="127"/>
        <w:jc w:val="both"/>
        <w:rPr>
          <w:rFonts w:cs="DejaVu Sans Condensed"/>
          <w:w w:val="0"/>
          <w:sz w:val="16"/>
          <w:szCs w:val="16"/>
          <w:lang w:val="en-US"/>
        </w:rPr>
      </w:pPr>
      <w:r>
        <w:rPr>
          <w:rFonts w:cs="DejaVu Sans Condensed"/>
          <w:w w:val="105"/>
          <w:sz w:val="16"/>
          <w:szCs w:val="16"/>
          <w:lang w:val="en-US"/>
        </w:rPr>
        <w:t>-Assessments requested for CABs which have been accredited by the relevant country’s Accreditation Body (in APAC-MLA Region), h</w:t>
      </w:r>
      <w:r w:rsidR="00B76CFF">
        <w:rPr>
          <w:rFonts w:cs="DejaVu Sans Condensed"/>
          <w:w w:val="105"/>
          <w:sz w:val="16"/>
          <w:szCs w:val="16"/>
          <w:lang w:val="en-US"/>
        </w:rPr>
        <w:t>ave branch operations in the IRAQ and are registered in the IRAQ</w:t>
      </w:r>
      <w:r>
        <w:rPr>
          <w:rFonts w:cs="DejaVu Sans Condensed"/>
          <w:w w:val="105"/>
          <w:sz w:val="16"/>
          <w:szCs w:val="16"/>
          <w:lang w:val="en-US"/>
        </w:rPr>
        <w:t xml:space="preserve"> under such accreditation certificate;</w:t>
      </w:r>
    </w:p>
    <w:p w:rsidR="000C02E7" w:rsidRDefault="000C02E7" w:rsidP="000C02E7">
      <w:pPr>
        <w:widowControl w:val="0"/>
        <w:spacing w:before="9"/>
        <w:rPr>
          <w:rFonts w:cs="DejaVu Sans Condensed"/>
          <w:w w:val="0"/>
          <w:sz w:val="15"/>
          <w:szCs w:val="15"/>
          <w:lang w:val="en-US"/>
        </w:rPr>
      </w:pPr>
    </w:p>
    <w:p w:rsidR="000C02E7" w:rsidRDefault="000C02E7" w:rsidP="000C02E7">
      <w:pPr>
        <w:widowControl w:val="0"/>
        <w:spacing w:before="1" w:line="276" w:lineRule="auto"/>
        <w:ind w:left="106" w:right="128"/>
        <w:jc w:val="both"/>
        <w:rPr>
          <w:rFonts w:cs="DejaVu Sans Condensed"/>
          <w:w w:val="0"/>
          <w:sz w:val="16"/>
          <w:szCs w:val="16"/>
          <w:lang w:val="en-US"/>
        </w:rPr>
      </w:pPr>
      <w:r>
        <w:rPr>
          <w:rFonts w:cs="DejaVu Sans Condensed"/>
          <w:w w:val="105"/>
          <w:sz w:val="16"/>
          <w:szCs w:val="16"/>
          <w:lang w:val="en-US"/>
        </w:rPr>
        <w:t>-Assessments requested by the foreign Accreditation Bodies for conformity a</w:t>
      </w:r>
      <w:r w:rsidR="004177AA">
        <w:rPr>
          <w:rFonts w:cs="DejaVu Sans Condensed"/>
          <w:w w:val="105"/>
          <w:sz w:val="16"/>
          <w:szCs w:val="16"/>
          <w:lang w:val="en-US"/>
        </w:rPr>
        <w:t>ssessment activities in the IRAQ</w:t>
      </w:r>
      <w:r>
        <w:rPr>
          <w:rFonts w:cs="DejaVu Sans Condensed"/>
          <w:w w:val="105"/>
          <w:sz w:val="16"/>
          <w:szCs w:val="16"/>
          <w:lang w:val="en-US"/>
        </w:rPr>
        <w:t xml:space="preserve"> of CABs accredited by the relevant country's Accreditation Body.</w:t>
      </w:r>
    </w:p>
    <w:p w:rsidR="000C02E7" w:rsidRDefault="000C02E7" w:rsidP="000C02E7">
      <w:pPr>
        <w:widowControl w:val="0"/>
        <w:spacing w:before="9"/>
        <w:rPr>
          <w:rFonts w:cs="DejaVu Sans Condensed"/>
          <w:w w:val="0"/>
          <w:sz w:val="15"/>
          <w:szCs w:val="15"/>
          <w:lang w:val="en-US"/>
        </w:rPr>
      </w:pPr>
    </w:p>
    <w:p w:rsidR="000C02E7" w:rsidRDefault="000C02E7" w:rsidP="000C02E7">
      <w:pPr>
        <w:widowControl w:val="0"/>
        <w:ind w:left="106"/>
        <w:rPr>
          <w:rFonts w:cs="DejaVu Sans Condensed"/>
          <w:w w:val="0"/>
          <w:sz w:val="16"/>
          <w:szCs w:val="16"/>
          <w:lang w:val="en-US"/>
        </w:rPr>
      </w:pPr>
      <w:r>
        <w:rPr>
          <w:rFonts w:cs="DejaVu Sans Condensed"/>
          <w:w w:val="105"/>
          <w:sz w:val="16"/>
          <w:szCs w:val="16"/>
          <w:u w:val="single"/>
          <w:lang w:val="en-US"/>
        </w:rPr>
        <w:t>Assessment Fee for Subcontracted Accredi</w:t>
      </w:r>
      <w:r w:rsidR="00B81619">
        <w:rPr>
          <w:rFonts w:cs="DejaVu Sans Condensed"/>
          <w:w w:val="105"/>
          <w:sz w:val="16"/>
          <w:szCs w:val="16"/>
          <w:u w:val="single"/>
          <w:lang w:val="en-US"/>
        </w:rPr>
        <w:t>tation Service (person/day): $80</w:t>
      </w:r>
      <w:r>
        <w:rPr>
          <w:rFonts w:cs="DejaVu Sans Condensed"/>
          <w:w w:val="105"/>
          <w:sz w:val="16"/>
          <w:szCs w:val="16"/>
          <w:u w:val="single"/>
          <w:lang w:val="en-US"/>
        </w:rPr>
        <w:t>0</w:t>
      </w:r>
    </w:p>
    <w:p w:rsidR="000C02E7" w:rsidRDefault="000C02E7" w:rsidP="000C02E7">
      <w:pPr>
        <w:widowControl w:val="0"/>
        <w:spacing w:before="1"/>
        <w:rPr>
          <w:rFonts w:cs="DejaVu Sans Condensed"/>
          <w:w w:val="0"/>
          <w:sz w:val="19"/>
          <w:szCs w:val="19"/>
          <w:lang w:val="en-US"/>
        </w:rPr>
      </w:pPr>
    </w:p>
    <w:p w:rsidR="000C02E7" w:rsidRDefault="000C02E7" w:rsidP="000C02E7">
      <w:pPr>
        <w:pStyle w:val="Balk1"/>
        <w:widowControl w:val="0"/>
        <w:tabs>
          <w:tab w:val="left" w:pos="507"/>
        </w:tabs>
        <w:ind w:left="506" w:hanging="251"/>
        <w:rPr>
          <w:rFonts w:cs="DejaVu Sans Condensed"/>
          <w:b/>
          <w:bCs/>
          <w:w w:val="0"/>
          <w:sz w:val="19"/>
          <w:szCs w:val="19"/>
          <w:lang w:val="en-US"/>
        </w:rPr>
      </w:pPr>
      <w:r>
        <w:rPr>
          <w:rFonts w:cs="DejaVu Sans Condensed"/>
          <w:b/>
          <w:bCs/>
          <w:w w:val="102"/>
          <w:sz w:val="19"/>
          <w:szCs w:val="19"/>
          <w:lang w:val="en-US"/>
        </w:rPr>
        <w:t>2.</w:t>
      </w:r>
      <w:r>
        <w:rPr>
          <w:rFonts w:cs="DejaVu Sans Condensed"/>
          <w:b/>
          <w:bCs/>
          <w:w w:val="102"/>
          <w:sz w:val="19"/>
          <w:szCs w:val="19"/>
          <w:lang w:val="en-US"/>
        </w:rPr>
        <w:tab/>
      </w:r>
      <w:r>
        <w:rPr>
          <w:rFonts w:cs="DejaVu Sans Condensed"/>
          <w:b/>
          <w:bCs/>
          <w:w w:val="105"/>
          <w:sz w:val="19"/>
          <w:szCs w:val="19"/>
          <w:lang w:val="en-US"/>
        </w:rPr>
        <w:t>ASSESSMENT PREPARATIONS AND REPORTING PERIOD</w:t>
      </w:r>
      <w:r>
        <w:rPr>
          <w:rFonts w:cs="DejaVu Sans Condensed"/>
          <w:b/>
          <w:bCs/>
          <w:spacing w:val="-25"/>
          <w:w w:val="105"/>
          <w:sz w:val="19"/>
          <w:szCs w:val="19"/>
          <w:lang w:val="en-US"/>
        </w:rPr>
        <w:t xml:space="preserve"> </w:t>
      </w:r>
      <w:r>
        <w:rPr>
          <w:rFonts w:cs="DejaVu Sans Condensed"/>
          <w:b/>
          <w:bCs/>
          <w:w w:val="105"/>
          <w:sz w:val="19"/>
          <w:szCs w:val="19"/>
          <w:lang w:val="en-US"/>
        </w:rPr>
        <w:t>CALCULATION</w:t>
      </w:r>
    </w:p>
    <w:p w:rsidR="000C02E7" w:rsidRDefault="000C02E7" w:rsidP="000C02E7">
      <w:pPr>
        <w:widowControl w:val="0"/>
        <w:spacing w:before="11"/>
        <w:rPr>
          <w:rFonts w:cs="DejaVu Sans Condensed"/>
          <w:b/>
          <w:bCs/>
          <w:w w:val="0"/>
          <w:sz w:val="18"/>
          <w:szCs w:val="18"/>
          <w:lang w:val="en-US"/>
        </w:rPr>
      </w:pPr>
    </w:p>
    <w:p w:rsidR="000C02E7" w:rsidRDefault="000C02E7" w:rsidP="000C02E7">
      <w:pPr>
        <w:widowControl w:val="0"/>
        <w:spacing w:line="276" w:lineRule="auto"/>
        <w:ind w:left="107" w:right="124"/>
        <w:jc w:val="both"/>
        <w:rPr>
          <w:rFonts w:cs="DejaVu Sans Condensed"/>
          <w:w w:val="0"/>
          <w:sz w:val="16"/>
          <w:szCs w:val="16"/>
          <w:lang w:val="en-US"/>
        </w:rPr>
      </w:pPr>
      <w:r>
        <w:rPr>
          <w:rFonts w:cs="DejaVu Sans Condensed"/>
          <w:w w:val="105"/>
          <w:sz w:val="16"/>
          <w:szCs w:val="16"/>
          <w:lang w:val="en-US"/>
        </w:rPr>
        <w:t xml:space="preserve">In the calculation of the above-mentioned fees for the services provided by </w:t>
      </w:r>
      <w:r w:rsidR="004177AA">
        <w:rPr>
          <w:rFonts w:cs="DejaVu Sans Condensed"/>
          <w:w w:val="105"/>
          <w:sz w:val="16"/>
          <w:szCs w:val="16"/>
          <w:lang w:val="en-US"/>
        </w:rPr>
        <w:t>IRNAC</w:t>
      </w:r>
      <w:r w:rsidR="00A44049">
        <w:rPr>
          <w:rFonts w:cs="DejaVu Sans Condensed"/>
          <w:w w:val="105"/>
          <w:sz w:val="16"/>
          <w:szCs w:val="16"/>
          <w:lang w:val="en-US"/>
        </w:rPr>
        <w:t xml:space="preserve"> </w:t>
      </w:r>
      <w:r>
        <w:rPr>
          <w:rFonts w:cs="DejaVu Sans Condensed"/>
          <w:w w:val="105"/>
          <w:sz w:val="16"/>
          <w:szCs w:val="16"/>
          <w:lang w:val="en-US"/>
        </w:rPr>
        <w:t xml:space="preserve">to the bodies applying for accreditation, apart from the time spent during the visit to the body for the assessment, number of days spent by the relevant </w:t>
      </w:r>
      <w:r w:rsidR="004177AA">
        <w:rPr>
          <w:rFonts w:cs="DejaVu Sans Condensed"/>
          <w:w w:val="105"/>
          <w:sz w:val="16"/>
          <w:szCs w:val="16"/>
          <w:lang w:val="en-US"/>
        </w:rPr>
        <w:t>IRNAC</w:t>
      </w:r>
      <w:r w:rsidR="00DB4CB4">
        <w:rPr>
          <w:rFonts w:cs="DejaVu Sans Condensed"/>
          <w:w w:val="105"/>
          <w:sz w:val="16"/>
          <w:szCs w:val="16"/>
          <w:lang w:val="en-US"/>
        </w:rPr>
        <w:t xml:space="preserve"> </w:t>
      </w:r>
      <w:r>
        <w:rPr>
          <w:rFonts w:cs="DejaVu Sans Condensed"/>
          <w:w w:val="105"/>
          <w:sz w:val="16"/>
          <w:szCs w:val="16"/>
          <w:lang w:val="en-US"/>
        </w:rPr>
        <w:t xml:space="preserve">Case Officer and Assessment Team consisting of Lead Assessor, Assessor and, when needed, Technical Expert for the preparation to assessment, reporting of the assessment and evaluation of corrective actions are considered. Detailed information regarding the time spent for assessment preparations and  reporting the assessment result is given in </w:t>
      </w:r>
      <w:r w:rsidR="004177AA">
        <w:rPr>
          <w:rFonts w:cs="DejaVu Sans Condensed"/>
          <w:w w:val="105"/>
          <w:sz w:val="16"/>
          <w:szCs w:val="16"/>
          <w:lang w:val="en-US"/>
        </w:rPr>
        <w:t>“IRNAC</w:t>
      </w:r>
      <w:r w:rsidR="00A44049">
        <w:rPr>
          <w:rFonts w:cs="DejaVu Sans Condensed"/>
          <w:w w:val="105"/>
          <w:sz w:val="16"/>
          <w:szCs w:val="16"/>
          <w:lang w:val="en-US"/>
        </w:rPr>
        <w:t>-G-</w:t>
      </w:r>
      <w:r w:rsidR="0017409E" w:rsidRPr="0017409E">
        <w:rPr>
          <w:rFonts w:cs="DejaVu Sans Condensed"/>
          <w:w w:val="105"/>
          <w:sz w:val="16"/>
          <w:szCs w:val="16"/>
          <w:lang w:val="en-US"/>
        </w:rPr>
        <w:t xml:space="preserve">22 Guidelines on the Calculation of Assessment Periods (Person/Day) for </w:t>
      </w:r>
      <w:bookmarkStart w:id="0" w:name="_GoBack"/>
      <w:bookmarkEnd w:id="0"/>
      <w:r w:rsidR="0017409E" w:rsidRPr="0017409E">
        <w:rPr>
          <w:rFonts w:cs="DejaVu Sans Condensed"/>
          <w:w w:val="105"/>
          <w:sz w:val="16"/>
          <w:szCs w:val="16"/>
          <w:lang w:val="en-US"/>
        </w:rPr>
        <w:t xml:space="preserve"> Assessments</w:t>
      </w:r>
      <w:r w:rsidR="00A44049">
        <w:rPr>
          <w:rFonts w:cs="DejaVu Sans Condensed"/>
          <w:w w:val="105"/>
          <w:sz w:val="16"/>
          <w:szCs w:val="16"/>
          <w:lang w:val="en-US"/>
        </w:rPr>
        <w:t>”</w:t>
      </w:r>
      <w:r w:rsidR="0017409E">
        <w:rPr>
          <w:rFonts w:cs="DejaVu Sans Condensed"/>
          <w:w w:val="105"/>
          <w:sz w:val="16"/>
          <w:szCs w:val="16"/>
          <w:lang w:val="en-US"/>
        </w:rPr>
        <w:t xml:space="preserve"> </w:t>
      </w:r>
      <w:r>
        <w:rPr>
          <w:rFonts w:cs="DejaVu Sans Condensed"/>
          <w:w w:val="105"/>
          <w:sz w:val="16"/>
          <w:szCs w:val="16"/>
          <w:lang w:val="en-US"/>
        </w:rPr>
        <w:t xml:space="preserve"> and in the sample of "Calculation of Accreditation Fee For Testing/Calibration Laboratories" in the</w:t>
      </w:r>
      <w:r>
        <w:rPr>
          <w:rFonts w:cs="DejaVu Sans Condensed"/>
          <w:spacing w:val="27"/>
          <w:w w:val="105"/>
          <w:sz w:val="16"/>
          <w:szCs w:val="16"/>
          <w:lang w:val="en-US"/>
        </w:rPr>
        <w:t xml:space="preserve"> </w:t>
      </w:r>
      <w:r>
        <w:rPr>
          <w:rFonts w:cs="DejaVu Sans Condensed"/>
          <w:w w:val="105"/>
          <w:sz w:val="16"/>
          <w:szCs w:val="16"/>
          <w:lang w:val="en-US"/>
        </w:rPr>
        <w:t>appendix:</w:t>
      </w:r>
    </w:p>
    <w:p w:rsidR="000C02E7" w:rsidRDefault="000C02E7" w:rsidP="000C02E7">
      <w:pPr>
        <w:widowControl w:val="0"/>
        <w:rPr>
          <w:rFonts w:cs="DejaVu Sans Condensed"/>
          <w:w w:val="0"/>
          <w:sz w:val="16"/>
          <w:szCs w:val="16"/>
          <w:lang w:val="en-US"/>
        </w:rPr>
      </w:pPr>
    </w:p>
    <w:p w:rsidR="000C02E7" w:rsidRDefault="000C02E7" w:rsidP="000C02E7">
      <w:pPr>
        <w:pStyle w:val="Balk1"/>
        <w:widowControl w:val="0"/>
        <w:tabs>
          <w:tab w:val="left" w:pos="507"/>
        </w:tabs>
        <w:spacing w:before="1"/>
        <w:ind w:left="506" w:hanging="251"/>
        <w:rPr>
          <w:rFonts w:cs="DejaVu Sans Condensed"/>
          <w:b/>
          <w:bCs/>
          <w:w w:val="0"/>
          <w:sz w:val="19"/>
          <w:szCs w:val="19"/>
          <w:lang w:val="en-US"/>
        </w:rPr>
      </w:pPr>
      <w:r>
        <w:rPr>
          <w:rFonts w:cs="DejaVu Sans Condensed"/>
          <w:b/>
          <w:bCs/>
          <w:w w:val="102"/>
          <w:sz w:val="19"/>
          <w:szCs w:val="19"/>
          <w:lang w:val="en-US"/>
        </w:rPr>
        <w:t>3.</w:t>
      </w:r>
      <w:r>
        <w:rPr>
          <w:rFonts w:cs="DejaVu Sans Condensed"/>
          <w:b/>
          <w:bCs/>
          <w:w w:val="102"/>
          <w:sz w:val="19"/>
          <w:szCs w:val="19"/>
          <w:lang w:val="en-US"/>
        </w:rPr>
        <w:tab/>
      </w:r>
      <w:r>
        <w:rPr>
          <w:rFonts w:cs="DejaVu Sans Condensed"/>
          <w:b/>
          <w:bCs/>
          <w:w w:val="105"/>
          <w:sz w:val="19"/>
          <w:szCs w:val="19"/>
          <w:lang w:val="en-US"/>
        </w:rPr>
        <w:t>FINANCIAL</w:t>
      </w:r>
      <w:r>
        <w:rPr>
          <w:rFonts w:cs="DejaVu Sans Condensed"/>
          <w:b/>
          <w:bCs/>
          <w:spacing w:val="-3"/>
          <w:w w:val="105"/>
          <w:sz w:val="19"/>
          <w:szCs w:val="19"/>
          <w:lang w:val="en-US"/>
        </w:rPr>
        <w:t xml:space="preserve"> </w:t>
      </w:r>
      <w:r>
        <w:rPr>
          <w:rFonts w:cs="DejaVu Sans Condensed"/>
          <w:b/>
          <w:bCs/>
          <w:w w:val="105"/>
          <w:sz w:val="19"/>
          <w:szCs w:val="19"/>
          <w:lang w:val="en-US"/>
        </w:rPr>
        <w:t>OBLIGATIONS</w:t>
      </w:r>
    </w:p>
    <w:p w:rsidR="000C02E7" w:rsidRDefault="000C02E7" w:rsidP="000C02E7">
      <w:pPr>
        <w:widowControl w:val="0"/>
        <w:spacing w:before="10"/>
        <w:rPr>
          <w:rFonts w:cs="DejaVu Sans Condensed"/>
          <w:b/>
          <w:bCs/>
          <w:w w:val="0"/>
          <w:sz w:val="18"/>
          <w:szCs w:val="18"/>
          <w:lang w:val="en-US"/>
        </w:rPr>
      </w:pPr>
    </w:p>
    <w:p w:rsidR="000C02E7" w:rsidRDefault="000C02E7" w:rsidP="000C02E7">
      <w:pPr>
        <w:widowControl w:val="0"/>
        <w:spacing w:line="276" w:lineRule="auto"/>
        <w:ind w:left="107" w:right="124"/>
        <w:jc w:val="both"/>
        <w:rPr>
          <w:rFonts w:cs="DejaVu Sans Condensed"/>
          <w:w w:val="0"/>
          <w:sz w:val="16"/>
          <w:szCs w:val="16"/>
          <w:lang w:val="en-US"/>
        </w:rPr>
      </w:pPr>
      <w:r>
        <w:rPr>
          <w:rFonts w:cs="DejaVu Sans Condensed"/>
          <w:w w:val="105"/>
          <w:sz w:val="16"/>
          <w:szCs w:val="16"/>
          <w:lang w:val="en-US"/>
        </w:rPr>
        <w:t>The assessment fee shall be invoiced within 15 days from the day the on-site assessment is completed, together with the expenses, if any</w:t>
      </w:r>
      <w:r w:rsidR="00AF4EB7">
        <w:rPr>
          <w:rFonts w:cs="DejaVu Sans Condensed"/>
          <w:w w:val="105"/>
          <w:sz w:val="16"/>
          <w:szCs w:val="16"/>
          <w:lang w:val="en-US"/>
        </w:rPr>
        <w:t>, of</w:t>
      </w:r>
      <w:r>
        <w:rPr>
          <w:rFonts w:cs="DejaVu Sans Condensed"/>
          <w:w w:val="105"/>
          <w:sz w:val="16"/>
          <w:szCs w:val="16"/>
          <w:lang w:val="en-US"/>
        </w:rPr>
        <w:t xml:space="preserve"> the assessment team and case officer for the assessment in question. For new applications, the application fee and document review fee shall be invoiced together with the accreditation assessment</w:t>
      </w:r>
      <w:r>
        <w:rPr>
          <w:rFonts w:cs="DejaVu Sans Condensed"/>
          <w:spacing w:val="23"/>
          <w:w w:val="105"/>
          <w:sz w:val="16"/>
          <w:szCs w:val="16"/>
          <w:lang w:val="en-US"/>
        </w:rPr>
        <w:t xml:space="preserve"> </w:t>
      </w:r>
      <w:r>
        <w:rPr>
          <w:rFonts w:cs="DejaVu Sans Condensed"/>
          <w:w w:val="105"/>
          <w:sz w:val="16"/>
          <w:szCs w:val="16"/>
          <w:lang w:val="en-US"/>
        </w:rPr>
        <w:t>fee.</w:t>
      </w:r>
    </w:p>
    <w:p w:rsidR="000C02E7" w:rsidRDefault="000C02E7" w:rsidP="000C02E7">
      <w:pPr>
        <w:widowControl w:val="0"/>
        <w:spacing w:before="9"/>
        <w:rPr>
          <w:rFonts w:cs="DejaVu Sans Condensed"/>
          <w:w w:val="0"/>
          <w:sz w:val="15"/>
          <w:szCs w:val="15"/>
          <w:lang w:val="en-US"/>
        </w:rPr>
      </w:pPr>
    </w:p>
    <w:p w:rsidR="000C02E7" w:rsidRDefault="000C02E7" w:rsidP="000C02E7">
      <w:pPr>
        <w:widowControl w:val="0"/>
        <w:spacing w:before="1"/>
        <w:ind w:left="106"/>
        <w:rPr>
          <w:rFonts w:cs="DejaVu Sans Condensed"/>
          <w:w w:val="0"/>
          <w:sz w:val="16"/>
          <w:szCs w:val="16"/>
          <w:lang w:val="en-US"/>
        </w:rPr>
      </w:pPr>
      <w:r>
        <w:rPr>
          <w:rFonts w:cs="DejaVu Sans Condensed"/>
          <w:w w:val="105"/>
          <w:sz w:val="16"/>
          <w:szCs w:val="16"/>
          <w:lang w:val="en-US"/>
        </w:rPr>
        <w:t>Fees for follow-up assessment shall be separately invoiced within 15 days from the day the follow-up assessment is completed.</w:t>
      </w:r>
    </w:p>
    <w:p w:rsidR="000C02E7" w:rsidRDefault="000C02E7" w:rsidP="000C02E7">
      <w:pPr>
        <w:widowControl w:val="0"/>
        <w:spacing w:before="8"/>
        <w:rPr>
          <w:rFonts w:cs="DejaVu Sans Condensed"/>
          <w:w w:val="0"/>
          <w:sz w:val="18"/>
          <w:szCs w:val="18"/>
          <w:lang w:val="en-US"/>
        </w:rPr>
      </w:pPr>
    </w:p>
    <w:p w:rsidR="000C02E7" w:rsidRDefault="000C02E7" w:rsidP="000C02E7">
      <w:pPr>
        <w:widowControl w:val="0"/>
        <w:spacing w:line="276" w:lineRule="auto"/>
        <w:ind w:left="106" w:right="128"/>
        <w:jc w:val="both"/>
        <w:rPr>
          <w:rFonts w:cs="DejaVu Sans Condensed"/>
          <w:w w:val="0"/>
          <w:sz w:val="16"/>
          <w:szCs w:val="16"/>
          <w:lang w:val="en-US"/>
        </w:rPr>
      </w:pPr>
      <w:r>
        <w:rPr>
          <w:rFonts w:cs="DejaVu Sans Condensed"/>
          <w:w w:val="105"/>
          <w:sz w:val="16"/>
          <w:szCs w:val="16"/>
          <w:lang w:val="en-US"/>
        </w:rPr>
        <w:t>Where it is understood that the accreditation process will be finalized without an on-site assessment or if the Body deems it necessary, the accrued fees shall be invoiced immediately.</w:t>
      </w:r>
    </w:p>
    <w:p w:rsidR="000C02E7" w:rsidRDefault="000C02E7" w:rsidP="000C02E7">
      <w:pPr>
        <w:widowControl w:val="0"/>
        <w:spacing w:before="9"/>
        <w:rPr>
          <w:rFonts w:cs="DejaVu Sans Condensed"/>
          <w:w w:val="0"/>
          <w:sz w:val="15"/>
          <w:szCs w:val="15"/>
          <w:lang w:val="en-US"/>
        </w:rPr>
      </w:pPr>
    </w:p>
    <w:p w:rsidR="000C02E7" w:rsidRDefault="000C02E7" w:rsidP="000C02E7">
      <w:pPr>
        <w:widowControl w:val="0"/>
        <w:spacing w:before="1"/>
        <w:ind w:left="106"/>
        <w:rPr>
          <w:rFonts w:cs="DejaVu Sans Condensed"/>
          <w:w w:val="0"/>
          <w:sz w:val="16"/>
          <w:szCs w:val="16"/>
          <w:lang w:val="en-US"/>
        </w:rPr>
      </w:pPr>
      <w:r>
        <w:rPr>
          <w:rFonts w:cs="DejaVu Sans Condensed"/>
          <w:w w:val="105"/>
          <w:sz w:val="16"/>
          <w:szCs w:val="16"/>
          <w:lang w:val="en-US"/>
        </w:rPr>
        <w:t xml:space="preserve">For the accreditation services provided abroad, the issuance and payment of invoices shall be carried out before the </w:t>
      </w:r>
      <w:r>
        <w:rPr>
          <w:rFonts w:cs="DejaVu Sans Condensed"/>
          <w:w w:val="105"/>
          <w:sz w:val="16"/>
          <w:szCs w:val="16"/>
          <w:lang w:val="en-US"/>
        </w:rPr>
        <w:lastRenderedPageBreak/>
        <w:t>assessment.</w:t>
      </w:r>
    </w:p>
    <w:p w:rsidR="000C02E7" w:rsidRDefault="000C02E7" w:rsidP="000C02E7">
      <w:pPr>
        <w:widowControl w:val="0"/>
        <w:spacing w:before="8"/>
        <w:rPr>
          <w:rFonts w:cs="DejaVu Sans Condensed"/>
          <w:w w:val="0"/>
          <w:sz w:val="18"/>
          <w:szCs w:val="18"/>
          <w:lang w:val="en-US"/>
        </w:rPr>
      </w:pPr>
    </w:p>
    <w:p w:rsidR="000C02E7" w:rsidRDefault="000C02E7" w:rsidP="000C02E7">
      <w:pPr>
        <w:widowControl w:val="0"/>
        <w:spacing w:line="276" w:lineRule="auto"/>
        <w:ind w:left="106" w:right="125"/>
        <w:jc w:val="both"/>
        <w:rPr>
          <w:rFonts w:cs="DejaVu Sans Condensed"/>
          <w:w w:val="0"/>
          <w:sz w:val="16"/>
          <w:szCs w:val="16"/>
          <w:lang w:val="en-US"/>
        </w:rPr>
      </w:pPr>
      <w:r>
        <w:rPr>
          <w:rFonts w:cs="DejaVu Sans Condensed"/>
          <w:w w:val="105"/>
          <w:sz w:val="16"/>
          <w:szCs w:val="16"/>
          <w:lang w:val="en-US"/>
        </w:rPr>
        <w:t xml:space="preserve">Invoice amounts accrued by </w:t>
      </w:r>
      <w:r w:rsidR="004177AA">
        <w:rPr>
          <w:rFonts w:cs="DejaVu Sans Condensed"/>
          <w:w w:val="105"/>
          <w:sz w:val="16"/>
          <w:szCs w:val="16"/>
          <w:lang w:val="en-US"/>
        </w:rPr>
        <w:t>IRNAC</w:t>
      </w:r>
      <w:r w:rsidR="00BF3BE6">
        <w:rPr>
          <w:rFonts w:cs="DejaVu Sans Condensed"/>
          <w:w w:val="105"/>
          <w:sz w:val="16"/>
          <w:szCs w:val="16"/>
          <w:lang w:val="en-US"/>
        </w:rPr>
        <w:t xml:space="preserve"> </w:t>
      </w:r>
      <w:r>
        <w:rPr>
          <w:rFonts w:cs="DejaVu Sans Condensed"/>
          <w:w w:val="105"/>
          <w:sz w:val="16"/>
          <w:szCs w:val="16"/>
          <w:lang w:val="en-US"/>
        </w:rPr>
        <w:t xml:space="preserve">shall be paid by the relevant body to </w:t>
      </w:r>
      <w:r w:rsidR="004177AA">
        <w:rPr>
          <w:rFonts w:cs="DejaVu Sans Condensed"/>
          <w:w w:val="105"/>
          <w:sz w:val="16"/>
          <w:szCs w:val="16"/>
          <w:lang w:val="en-US"/>
        </w:rPr>
        <w:t>IRNAC</w:t>
      </w:r>
      <w:r>
        <w:rPr>
          <w:rFonts w:cs="DejaVu Sans Condensed"/>
          <w:w w:val="105"/>
          <w:sz w:val="16"/>
          <w:szCs w:val="16"/>
          <w:lang w:val="en-US"/>
        </w:rPr>
        <w:t>'s bank accounts in accordance with the provisions of the Accreditation Agreement. The payment period is 30 days as of the invoice date. Where the invoice amount has not been paid at the end of this period, legal proceedings shall be started.</w:t>
      </w:r>
    </w:p>
    <w:p w:rsidR="000C02E7" w:rsidRDefault="000C02E7" w:rsidP="000C02E7">
      <w:pPr>
        <w:widowControl w:val="0"/>
        <w:spacing w:before="9"/>
        <w:rPr>
          <w:rFonts w:cs="DejaVu Sans Condensed"/>
          <w:w w:val="0"/>
          <w:sz w:val="15"/>
          <w:szCs w:val="15"/>
          <w:lang w:val="en-US"/>
        </w:rPr>
      </w:pPr>
    </w:p>
    <w:p w:rsidR="000C02E7" w:rsidRDefault="000C02E7" w:rsidP="000C02E7">
      <w:pPr>
        <w:pStyle w:val="Balk2"/>
        <w:widowControl w:val="0"/>
        <w:ind w:left="106"/>
        <w:rPr>
          <w:rFonts w:cs="DejaVu Sans Condensed"/>
          <w:b/>
          <w:bCs/>
          <w:w w:val="0"/>
          <w:sz w:val="16"/>
          <w:szCs w:val="16"/>
          <w:lang w:val="en-US"/>
        </w:rPr>
      </w:pPr>
      <w:r>
        <w:rPr>
          <w:rFonts w:cs="DejaVu Sans Condensed"/>
          <w:b/>
          <w:bCs/>
          <w:w w:val="105"/>
          <w:sz w:val="16"/>
          <w:szCs w:val="16"/>
          <w:lang w:val="en-US"/>
        </w:rPr>
        <w:t>Appendix 1:</w:t>
      </w:r>
    </w:p>
    <w:p w:rsidR="000C02E7" w:rsidRDefault="000C02E7" w:rsidP="000C02E7">
      <w:pPr>
        <w:widowControl w:val="0"/>
        <w:spacing w:before="9"/>
        <w:rPr>
          <w:rFonts w:cs="DejaVu Sans Condensed"/>
          <w:b/>
          <w:bCs/>
          <w:w w:val="0"/>
          <w:sz w:val="18"/>
          <w:szCs w:val="18"/>
          <w:lang w:val="en-US"/>
        </w:rPr>
      </w:pPr>
    </w:p>
    <w:p w:rsidR="000C02E7" w:rsidRDefault="000C02E7" w:rsidP="000C02E7">
      <w:pPr>
        <w:widowControl w:val="0"/>
        <w:ind w:left="106"/>
        <w:rPr>
          <w:rFonts w:cs="DejaVu Sans Condensed"/>
          <w:b/>
          <w:bCs/>
          <w:w w:val="0"/>
          <w:sz w:val="16"/>
          <w:szCs w:val="16"/>
          <w:lang w:val="en-US"/>
        </w:rPr>
      </w:pPr>
      <w:r>
        <w:rPr>
          <w:rFonts w:cs="DejaVu Sans Condensed"/>
          <w:b/>
          <w:bCs/>
          <w:w w:val="105"/>
          <w:sz w:val="16"/>
          <w:szCs w:val="16"/>
          <w:lang w:val="en-US"/>
        </w:rPr>
        <w:t>Calculation of Accreditation Fee for Testing/Calibration Laboratories (Sample)</w:t>
      </w:r>
    </w:p>
    <w:p w:rsidR="000C02E7" w:rsidRDefault="000C02E7" w:rsidP="000C02E7">
      <w:pPr>
        <w:widowControl w:val="0"/>
        <w:spacing w:before="8"/>
        <w:rPr>
          <w:rFonts w:cs="DejaVu Sans Condensed"/>
          <w:b/>
          <w:bCs/>
          <w:w w:val="0"/>
          <w:sz w:val="18"/>
          <w:szCs w:val="18"/>
          <w:lang w:val="en-US"/>
        </w:rPr>
      </w:pPr>
    </w:p>
    <w:p w:rsidR="000C02E7" w:rsidRDefault="000C02E7" w:rsidP="000C02E7">
      <w:pPr>
        <w:widowControl w:val="0"/>
        <w:spacing w:line="516" w:lineRule="auto"/>
        <w:ind w:left="106"/>
        <w:rPr>
          <w:rFonts w:cs="DejaVu Sans Condensed"/>
          <w:w w:val="0"/>
          <w:sz w:val="16"/>
          <w:szCs w:val="16"/>
          <w:lang w:val="en-US"/>
        </w:rPr>
      </w:pPr>
      <w:r>
        <w:rPr>
          <w:rFonts w:cs="DejaVu Sans Condensed"/>
          <w:w w:val="105"/>
          <w:sz w:val="16"/>
          <w:szCs w:val="16"/>
          <w:lang w:val="en-US"/>
        </w:rPr>
        <w:t>Cost of a testing/calibration laboratory's accreditation application (excluding assessors’ food, accommodation and travel expenses) Testing/Calibration Lab. Name: TCL</w:t>
      </w:r>
    </w:p>
    <w:p w:rsidR="000C02E7" w:rsidRDefault="000C02E7" w:rsidP="000C02E7">
      <w:pPr>
        <w:widowControl w:val="0"/>
        <w:tabs>
          <w:tab w:val="left" w:pos="5653"/>
        </w:tabs>
        <w:spacing w:before="26"/>
        <w:ind w:left="122"/>
        <w:rPr>
          <w:rFonts w:cs="DejaVu Sans Condensed"/>
          <w:w w:val="0"/>
          <w:sz w:val="16"/>
          <w:szCs w:val="16"/>
          <w:lang w:val="en-US"/>
        </w:rPr>
      </w:pPr>
      <w:r>
        <w:rPr>
          <w:rFonts w:cs="DejaVu Sans Condensed"/>
          <w:color w:val="1F1F1F"/>
          <w:w w:val="105"/>
          <w:sz w:val="16"/>
          <w:szCs w:val="16"/>
          <w:lang w:val="en-US"/>
        </w:rPr>
        <w:t>Scope</w:t>
      </w:r>
      <w:r>
        <w:rPr>
          <w:rFonts w:cs="DejaVu Sans Condensed"/>
          <w:color w:val="1F1F1F"/>
          <w:w w:val="105"/>
          <w:sz w:val="16"/>
          <w:szCs w:val="16"/>
          <w:lang w:val="en-US"/>
        </w:rPr>
        <w:tab/>
        <w:t>: 10 Test/ Calibrations</w:t>
      </w:r>
      <w:r>
        <w:rPr>
          <w:rFonts w:cs="DejaVu Sans Condensed"/>
          <w:color w:val="1F1F1F"/>
          <w:spacing w:val="-8"/>
          <w:w w:val="105"/>
          <w:sz w:val="16"/>
          <w:szCs w:val="16"/>
          <w:lang w:val="en-US"/>
        </w:rPr>
        <w:t xml:space="preserve"> </w:t>
      </w:r>
      <w:r>
        <w:rPr>
          <w:rFonts w:cs="DejaVu Sans Condensed"/>
          <w:color w:val="1F1F1F"/>
          <w:w w:val="105"/>
          <w:sz w:val="16"/>
          <w:szCs w:val="16"/>
          <w:lang w:val="en-US"/>
        </w:rPr>
        <w:t>*</w:t>
      </w:r>
    </w:p>
    <w:p w:rsidR="000C02E7" w:rsidRDefault="000C02E7" w:rsidP="000C02E7">
      <w:pPr>
        <w:widowControl w:val="0"/>
        <w:tabs>
          <w:tab w:val="right" w:pos="5845"/>
        </w:tabs>
        <w:spacing w:before="83"/>
        <w:ind w:left="122"/>
        <w:rPr>
          <w:rFonts w:cs="DejaVu Sans Condensed"/>
          <w:w w:val="0"/>
          <w:sz w:val="16"/>
          <w:szCs w:val="16"/>
          <w:lang w:val="en-US"/>
        </w:rPr>
      </w:pPr>
      <w:r>
        <w:rPr>
          <w:rFonts w:cs="DejaVu Sans Condensed"/>
          <w:color w:val="1F1F1F"/>
          <w:w w:val="105"/>
          <w:sz w:val="16"/>
          <w:szCs w:val="16"/>
          <w:lang w:val="en-US"/>
        </w:rPr>
        <w:t>Working</w:t>
      </w:r>
      <w:r>
        <w:rPr>
          <w:rFonts w:cs="DejaVu Sans Condensed"/>
          <w:color w:val="1F1F1F"/>
          <w:spacing w:val="-2"/>
          <w:w w:val="105"/>
          <w:sz w:val="16"/>
          <w:szCs w:val="16"/>
          <w:lang w:val="en-US"/>
        </w:rPr>
        <w:t xml:space="preserve"> </w:t>
      </w:r>
      <w:r>
        <w:rPr>
          <w:rFonts w:cs="DejaVu Sans Condensed"/>
          <w:color w:val="1F1F1F"/>
          <w:w w:val="105"/>
          <w:sz w:val="16"/>
          <w:szCs w:val="16"/>
          <w:lang w:val="en-US"/>
        </w:rPr>
        <w:t>Personnel</w:t>
      </w:r>
      <w:r>
        <w:rPr>
          <w:rFonts w:cs="DejaVu Sans Condensed"/>
          <w:color w:val="1F1F1F"/>
          <w:w w:val="105"/>
          <w:sz w:val="16"/>
          <w:szCs w:val="16"/>
          <w:lang w:val="en-US"/>
        </w:rPr>
        <w:tab/>
        <w:t>4</w:t>
      </w:r>
    </w:p>
    <w:p w:rsidR="000C02E7" w:rsidRDefault="000C02E7" w:rsidP="000C02E7">
      <w:pPr>
        <w:widowControl w:val="0"/>
        <w:tabs>
          <w:tab w:val="left" w:pos="5653"/>
        </w:tabs>
        <w:spacing w:before="137"/>
        <w:ind w:left="122"/>
        <w:rPr>
          <w:rFonts w:cs="DejaVu Sans Condensed"/>
          <w:w w:val="0"/>
          <w:sz w:val="16"/>
          <w:szCs w:val="16"/>
          <w:lang w:val="en-US"/>
        </w:rPr>
      </w:pPr>
      <w:r>
        <w:rPr>
          <w:rFonts w:cs="DejaVu Sans Condensed"/>
          <w:color w:val="1F1F1F"/>
          <w:w w:val="105"/>
          <w:sz w:val="16"/>
          <w:szCs w:val="16"/>
          <w:lang w:val="en-US"/>
        </w:rPr>
        <w:t>Enclosed</w:t>
      </w:r>
      <w:r>
        <w:rPr>
          <w:rFonts w:cs="DejaVu Sans Condensed"/>
          <w:color w:val="1F1F1F"/>
          <w:spacing w:val="-13"/>
          <w:w w:val="105"/>
          <w:sz w:val="16"/>
          <w:szCs w:val="16"/>
          <w:lang w:val="en-US"/>
        </w:rPr>
        <w:t xml:space="preserve"> </w:t>
      </w:r>
      <w:r>
        <w:rPr>
          <w:rFonts w:cs="DejaVu Sans Condensed"/>
          <w:color w:val="1F1F1F"/>
          <w:w w:val="105"/>
          <w:sz w:val="16"/>
          <w:szCs w:val="16"/>
          <w:lang w:val="en-US"/>
        </w:rPr>
        <w:t>Laboratory</w:t>
      </w:r>
      <w:r>
        <w:rPr>
          <w:rFonts w:cs="DejaVu Sans Condensed"/>
          <w:color w:val="1F1F1F"/>
          <w:spacing w:val="-12"/>
          <w:w w:val="105"/>
          <w:sz w:val="16"/>
          <w:szCs w:val="16"/>
          <w:lang w:val="en-US"/>
        </w:rPr>
        <w:t xml:space="preserve"> </w:t>
      </w:r>
      <w:r>
        <w:rPr>
          <w:rFonts w:cs="DejaVu Sans Condensed"/>
          <w:color w:val="1F1F1F"/>
          <w:w w:val="105"/>
          <w:sz w:val="16"/>
          <w:szCs w:val="16"/>
          <w:lang w:val="en-US"/>
        </w:rPr>
        <w:t>Area</w:t>
      </w:r>
      <w:r>
        <w:rPr>
          <w:rFonts w:cs="DejaVu Sans Condensed"/>
          <w:color w:val="1F1F1F"/>
          <w:w w:val="105"/>
          <w:sz w:val="16"/>
          <w:szCs w:val="16"/>
          <w:lang w:val="en-US"/>
        </w:rPr>
        <w:tab/>
        <w:t>: 120</w:t>
      </w:r>
      <w:r>
        <w:rPr>
          <w:rFonts w:cs="DejaVu Sans Condensed"/>
          <w:color w:val="1F1F1F"/>
          <w:spacing w:val="-2"/>
          <w:w w:val="105"/>
          <w:sz w:val="16"/>
          <w:szCs w:val="16"/>
          <w:lang w:val="en-US"/>
        </w:rPr>
        <w:t xml:space="preserve"> </w:t>
      </w:r>
      <w:r>
        <w:rPr>
          <w:rFonts w:cs="DejaVu Sans Condensed"/>
          <w:color w:val="1F1F1F"/>
          <w:w w:val="105"/>
          <w:sz w:val="16"/>
          <w:szCs w:val="16"/>
          <w:lang w:val="en-US"/>
        </w:rPr>
        <w:t>m</w:t>
      </w:r>
      <w:r>
        <w:rPr>
          <w:rFonts w:cs="DejaVu Sans Condensed"/>
          <w:color w:val="1F1F1F"/>
          <w:w w:val="105"/>
          <w:sz w:val="16"/>
          <w:szCs w:val="16"/>
          <w:vertAlign w:val="superscript"/>
          <w:lang w:val="en-US"/>
        </w:rPr>
        <w:t>2</w:t>
      </w:r>
    </w:p>
    <w:p w:rsidR="000C02E7" w:rsidRDefault="000C02E7" w:rsidP="000C02E7">
      <w:pPr>
        <w:widowControl w:val="0"/>
        <w:spacing w:before="700"/>
        <w:ind w:left="106"/>
        <w:rPr>
          <w:rFonts w:cs="DejaVu Sans Condensed"/>
          <w:w w:val="0"/>
          <w:sz w:val="16"/>
          <w:szCs w:val="16"/>
          <w:lang w:val="en-US"/>
        </w:rPr>
      </w:pPr>
      <w:r>
        <w:rPr>
          <w:rFonts w:cs="DejaVu Sans Condensed"/>
          <w:w w:val="105"/>
          <w:sz w:val="16"/>
          <w:szCs w:val="16"/>
          <w:lang w:val="en-US"/>
        </w:rPr>
        <w:t>* It is assumed that sample preparation, testing and calibration methods could be finalized in a short period of time.</w:t>
      </w:r>
    </w:p>
    <w:p w:rsidR="000C02E7" w:rsidRDefault="000C02E7" w:rsidP="000C02E7">
      <w:pPr>
        <w:widowControl w:val="0"/>
        <w:rPr>
          <w:rFonts w:cs="DejaVu Sans Condensed"/>
          <w:w w:val="0"/>
          <w:sz w:val="22"/>
          <w:szCs w:val="22"/>
          <w:lang w:val="en-US"/>
        </w:rPr>
      </w:pPr>
    </w:p>
    <w:p w:rsidR="000C02E7" w:rsidRDefault="000C02E7" w:rsidP="000C02E7">
      <w:pPr>
        <w:widowControl w:val="0"/>
        <w:spacing w:before="575"/>
        <w:ind w:left="186"/>
        <w:rPr>
          <w:rFonts w:cs="DejaVu Sans Condensed"/>
          <w:w w:val="0"/>
          <w:sz w:val="16"/>
          <w:szCs w:val="16"/>
          <w:lang w:val="en-US"/>
        </w:rPr>
      </w:pPr>
      <w:proofErr w:type="gramStart"/>
      <w:r>
        <w:rPr>
          <w:rFonts w:cs="DejaVu Sans Condensed"/>
          <w:w w:val="105"/>
          <w:sz w:val="16"/>
          <w:szCs w:val="16"/>
          <w:lang w:val="en-US"/>
        </w:rPr>
        <w:t>APPLICATION :</w:t>
      </w:r>
      <w:proofErr w:type="gramEnd"/>
    </w:p>
    <w:p w:rsidR="000C02E7" w:rsidRDefault="000C02E7" w:rsidP="000C02E7">
      <w:pPr>
        <w:widowControl w:val="0"/>
        <w:spacing w:before="218"/>
        <w:ind w:left="186"/>
        <w:rPr>
          <w:rFonts w:cs="DejaVu Sans Condensed"/>
          <w:w w:val="0"/>
          <w:sz w:val="16"/>
          <w:szCs w:val="16"/>
          <w:lang w:val="en-US"/>
        </w:rPr>
      </w:pPr>
      <w:r>
        <w:rPr>
          <w:rFonts w:cs="DejaVu Sans Condensed"/>
          <w:w w:val="105"/>
          <w:sz w:val="16"/>
          <w:szCs w:val="16"/>
          <w:lang w:val="en-US"/>
        </w:rPr>
        <w:t>Application Fee</w:t>
      </w:r>
      <w:proofErr w:type="gramStart"/>
      <w:r>
        <w:rPr>
          <w:rFonts w:cs="DejaVu Sans Condensed"/>
          <w:w w:val="105"/>
          <w:sz w:val="16"/>
          <w:szCs w:val="16"/>
          <w:lang w:val="en-US"/>
        </w:rPr>
        <w:t>:$</w:t>
      </w:r>
      <w:proofErr w:type="gramEnd"/>
      <w:r>
        <w:rPr>
          <w:rFonts w:cs="DejaVu Sans Condensed"/>
          <w:w w:val="105"/>
          <w:sz w:val="16"/>
          <w:szCs w:val="16"/>
          <w:lang w:val="en-US"/>
        </w:rPr>
        <w:t>200</w:t>
      </w:r>
    </w:p>
    <w:p w:rsidR="000C02E7" w:rsidRDefault="000C02E7" w:rsidP="000C02E7">
      <w:pPr>
        <w:widowControl w:val="0"/>
        <w:rPr>
          <w:rFonts w:cs="DejaVu Sans Condensed"/>
          <w:w w:val="0"/>
          <w:sz w:val="20"/>
          <w:szCs w:val="20"/>
          <w:lang w:val="en-US"/>
        </w:rPr>
      </w:pPr>
    </w:p>
    <w:p w:rsidR="000C02E7" w:rsidRDefault="000C02E7" w:rsidP="000C02E7">
      <w:pPr>
        <w:widowControl w:val="0"/>
        <w:spacing w:before="5"/>
        <w:rPr>
          <w:rFonts w:cs="DejaVu Sans Condensed"/>
          <w:w w:val="0"/>
          <w:sz w:val="28"/>
          <w:szCs w:val="28"/>
          <w:lang w:val="en-US"/>
        </w:rPr>
      </w:pPr>
      <w:r>
        <w:rPr>
          <w:rFonts w:ascii="Calibri" w:hAnsi="Calibri" w:cs="Calibri"/>
          <w:noProof/>
          <w:w w:val="0"/>
          <w:sz w:val="22"/>
          <w:szCs w:val="22"/>
          <w:lang w:eastAsia="tr-TR"/>
        </w:rPr>
        <w:drawing>
          <wp:inline distT="0" distB="0" distL="0" distR="0">
            <wp:extent cx="6790055" cy="2381250"/>
            <wp:effectExtent l="19050" t="0" r="0"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srcRect/>
                    <a:stretch>
                      <a:fillRect/>
                    </a:stretch>
                  </pic:blipFill>
                  <pic:spPr bwMode="auto">
                    <a:xfrm>
                      <a:off x="0" y="0"/>
                      <a:ext cx="6790055" cy="2381250"/>
                    </a:xfrm>
                    <a:prstGeom prst="rect">
                      <a:avLst/>
                    </a:prstGeom>
                    <a:noFill/>
                    <a:ln w="9525">
                      <a:noFill/>
                      <a:miter lim="800000"/>
                      <a:headEnd/>
                      <a:tailEnd/>
                    </a:ln>
                  </pic:spPr>
                </pic:pic>
              </a:graphicData>
            </a:graphic>
          </wp:inline>
        </w:drawing>
      </w:r>
    </w:p>
    <w:p w:rsidR="000C02E7" w:rsidRDefault="000C02E7" w:rsidP="000C02E7">
      <w:pPr>
        <w:spacing w:after="200" w:line="276" w:lineRule="auto"/>
        <w:rPr>
          <w:rFonts w:ascii="Calibri" w:hAnsi="Calibri" w:cs="Calibri"/>
          <w:w w:val="0"/>
          <w:sz w:val="22"/>
          <w:szCs w:val="22"/>
        </w:rPr>
      </w:pPr>
    </w:p>
    <w:p w:rsidR="00343F2E" w:rsidRDefault="00343F2E"/>
    <w:sectPr w:rsidR="00343F2E" w:rsidSect="00EE4717">
      <w:headerReference w:type="default" r:id="rId8"/>
      <w:foot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422" w:rsidRDefault="00251422" w:rsidP="003A789C">
      <w:r>
        <w:separator/>
      </w:r>
    </w:p>
  </w:endnote>
  <w:endnote w:type="continuationSeparator" w:id="0">
    <w:p w:rsidR="00251422" w:rsidRDefault="00251422" w:rsidP="003A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Condensed">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272214"/>
      <w:docPartObj>
        <w:docPartGallery w:val="Page Numbers (Bottom of Page)"/>
        <w:docPartUnique/>
      </w:docPartObj>
    </w:sdtPr>
    <w:sdtEndPr/>
    <w:sdtContent>
      <w:p w:rsidR="00741526" w:rsidRDefault="00741526">
        <w:pPr>
          <w:pStyle w:val="AltBilgi"/>
          <w:jc w:val="right"/>
        </w:pPr>
        <w:r>
          <w:fldChar w:fldCharType="begin"/>
        </w:r>
        <w:r>
          <w:instrText>PAGE   \* MERGEFORMAT</w:instrText>
        </w:r>
        <w:r>
          <w:fldChar w:fldCharType="separate"/>
        </w:r>
        <w:r w:rsidR="009C4870">
          <w:rPr>
            <w:noProof/>
          </w:rPr>
          <w:t>3</w:t>
        </w:r>
        <w:r>
          <w:fldChar w:fldCharType="end"/>
        </w:r>
      </w:p>
    </w:sdtContent>
  </w:sdt>
  <w:p w:rsidR="00741526" w:rsidRDefault="00713830">
    <w:pPr>
      <w:pStyle w:val="AltBilgi"/>
    </w:pPr>
    <w:r>
      <w:t>IRNAC-G-21-01/04/2023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422" w:rsidRDefault="00251422" w:rsidP="003A789C">
      <w:r>
        <w:separator/>
      </w:r>
    </w:p>
  </w:footnote>
  <w:footnote w:type="continuationSeparator" w:id="0">
    <w:p w:rsidR="00251422" w:rsidRDefault="00251422" w:rsidP="003A7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318" w:type="dxa"/>
      <w:tblLook w:val="04A0" w:firstRow="1" w:lastRow="0" w:firstColumn="1" w:lastColumn="0" w:noHBand="0" w:noVBand="1"/>
    </w:tblPr>
    <w:tblGrid>
      <w:gridCol w:w="1873"/>
      <w:gridCol w:w="5337"/>
      <w:gridCol w:w="1137"/>
      <w:gridCol w:w="1367"/>
    </w:tblGrid>
    <w:tr w:rsidR="00257357" w:rsidTr="007712BE">
      <w:trPr>
        <w:trHeight w:val="144"/>
      </w:trPr>
      <w:tc>
        <w:tcPr>
          <w:tcW w:w="1873" w:type="dxa"/>
          <w:vMerge w:val="restart"/>
        </w:tcPr>
        <w:p w:rsidR="00257357" w:rsidRDefault="007712BE" w:rsidP="00257357">
          <w:pPr>
            <w:pStyle w:val="stBilgi"/>
            <w:rPr>
              <w:rFonts w:eastAsia="Courier New"/>
              <w:b/>
              <w:sz w:val="32"/>
              <w:szCs w:val="32"/>
            </w:rPr>
          </w:pPr>
          <w:r w:rsidRPr="0085007F">
            <w:rPr>
              <w:noProof/>
            </w:rPr>
            <w:drawing>
              <wp:inline distT="0" distB="0" distL="0" distR="0" wp14:anchorId="24D1BB46" wp14:editId="1D0A406D">
                <wp:extent cx="1025525" cy="874395"/>
                <wp:effectExtent l="0" t="0" r="3175" b="1905"/>
                <wp:docPr id="2" name="Resim 2" descr="C:\Users\sevda\OneDrive\Masaüstü\IRNAC 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da\OneDrive\Masaüstü\IRNAC LOGO - Kopy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874395"/>
                        </a:xfrm>
                        <a:prstGeom prst="rect">
                          <a:avLst/>
                        </a:prstGeom>
                        <a:noFill/>
                        <a:ln>
                          <a:noFill/>
                        </a:ln>
                      </pic:spPr>
                    </pic:pic>
                  </a:graphicData>
                </a:graphic>
              </wp:inline>
            </w:drawing>
          </w:r>
        </w:p>
        <w:p w:rsidR="00257357" w:rsidRDefault="00257357" w:rsidP="00257357">
          <w:pPr>
            <w:rPr>
              <w:rFonts w:eastAsia="Courier New"/>
              <w:lang w:val="en-US"/>
            </w:rPr>
          </w:pPr>
        </w:p>
        <w:p w:rsidR="00257357" w:rsidRPr="00674D61" w:rsidRDefault="00257357" w:rsidP="00257357">
          <w:pPr>
            <w:jc w:val="center"/>
            <w:rPr>
              <w:rFonts w:eastAsia="Courier New"/>
              <w:lang w:val="en-US"/>
            </w:rPr>
          </w:pPr>
        </w:p>
      </w:tc>
      <w:tc>
        <w:tcPr>
          <w:tcW w:w="5337" w:type="dxa"/>
          <w:vMerge w:val="restart"/>
        </w:tcPr>
        <w:p w:rsidR="00257357" w:rsidRPr="00F8570E" w:rsidRDefault="007712BE" w:rsidP="00257357">
          <w:pPr>
            <w:pStyle w:val="stBilgi"/>
            <w:jc w:val="center"/>
            <w:rPr>
              <w:rFonts w:ascii="Verdana" w:hAnsi="Verdana"/>
              <w:b/>
            </w:rPr>
          </w:pPr>
          <w:r>
            <w:rPr>
              <w:rFonts w:ascii="Verdana" w:hAnsi="Verdana"/>
              <w:b/>
            </w:rPr>
            <w:t>IRNAC</w:t>
          </w:r>
        </w:p>
        <w:p w:rsidR="007712BE" w:rsidRDefault="007712BE" w:rsidP="00257357">
          <w:pPr>
            <w:pStyle w:val="stBilgi"/>
            <w:jc w:val="center"/>
            <w:rPr>
              <w:rFonts w:asciiTheme="minorHAnsi" w:hAnsiTheme="minorHAnsi"/>
              <w:sz w:val="32"/>
              <w:szCs w:val="32"/>
            </w:rPr>
          </w:pPr>
        </w:p>
        <w:p w:rsidR="007712BE" w:rsidRDefault="007712BE" w:rsidP="00257357">
          <w:pPr>
            <w:pStyle w:val="stBilgi"/>
            <w:jc w:val="center"/>
            <w:rPr>
              <w:rFonts w:asciiTheme="minorHAnsi" w:hAnsiTheme="minorHAnsi"/>
              <w:sz w:val="32"/>
              <w:szCs w:val="32"/>
            </w:rPr>
          </w:pPr>
        </w:p>
        <w:p w:rsidR="00257357" w:rsidRDefault="00257357" w:rsidP="00257357">
          <w:pPr>
            <w:pStyle w:val="stBilgi"/>
            <w:jc w:val="center"/>
            <w:rPr>
              <w:rFonts w:eastAsia="Courier New"/>
              <w:b/>
              <w:sz w:val="32"/>
              <w:szCs w:val="32"/>
            </w:rPr>
          </w:pPr>
          <w:proofErr w:type="spellStart"/>
          <w:r>
            <w:rPr>
              <w:rFonts w:asciiTheme="minorHAnsi" w:hAnsiTheme="minorHAnsi"/>
              <w:sz w:val="32"/>
              <w:szCs w:val="32"/>
            </w:rPr>
            <w:t>Accreditation</w:t>
          </w:r>
          <w:proofErr w:type="spellEnd"/>
          <w:r>
            <w:rPr>
              <w:rFonts w:asciiTheme="minorHAnsi" w:hAnsiTheme="minorHAnsi"/>
              <w:sz w:val="32"/>
              <w:szCs w:val="32"/>
            </w:rPr>
            <w:t xml:space="preserve"> </w:t>
          </w:r>
          <w:proofErr w:type="spellStart"/>
          <w:r>
            <w:rPr>
              <w:rFonts w:asciiTheme="minorHAnsi" w:hAnsiTheme="minorHAnsi"/>
              <w:sz w:val="32"/>
              <w:szCs w:val="32"/>
            </w:rPr>
            <w:t>Fees</w:t>
          </w:r>
          <w:proofErr w:type="spellEnd"/>
          <w:r>
            <w:rPr>
              <w:rFonts w:asciiTheme="minorHAnsi" w:hAnsiTheme="minorHAnsi"/>
              <w:sz w:val="32"/>
              <w:szCs w:val="32"/>
            </w:rPr>
            <w:t xml:space="preserve"> </w:t>
          </w:r>
          <w:proofErr w:type="spellStart"/>
          <w:r>
            <w:rPr>
              <w:rFonts w:asciiTheme="minorHAnsi" w:hAnsiTheme="minorHAnsi"/>
              <w:sz w:val="32"/>
              <w:szCs w:val="32"/>
            </w:rPr>
            <w:t>Guidelines</w:t>
          </w:r>
          <w:proofErr w:type="spellEnd"/>
        </w:p>
      </w:tc>
      <w:tc>
        <w:tcPr>
          <w:tcW w:w="1137" w:type="dxa"/>
        </w:tcPr>
        <w:p w:rsidR="00257357" w:rsidRPr="004F5E88" w:rsidRDefault="00257357" w:rsidP="00257357">
          <w:pPr>
            <w:pStyle w:val="stBilgi"/>
            <w:jc w:val="center"/>
            <w:rPr>
              <w:rFonts w:ascii="Verdana" w:hAnsi="Verdana"/>
              <w:b/>
              <w:sz w:val="16"/>
              <w:szCs w:val="16"/>
            </w:rPr>
          </w:pPr>
          <w:proofErr w:type="spellStart"/>
          <w:r w:rsidRPr="004F5E88">
            <w:rPr>
              <w:rFonts w:ascii="Verdana" w:hAnsi="Verdana"/>
              <w:b/>
              <w:sz w:val="16"/>
              <w:szCs w:val="16"/>
            </w:rPr>
            <w:t>Document</w:t>
          </w:r>
          <w:proofErr w:type="spellEnd"/>
          <w:r w:rsidRPr="004F5E88">
            <w:rPr>
              <w:rFonts w:ascii="Verdana" w:hAnsi="Verdana"/>
              <w:b/>
              <w:sz w:val="16"/>
              <w:szCs w:val="16"/>
            </w:rPr>
            <w:t xml:space="preserve"> No:</w:t>
          </w:r>
        </w:p>
      </w:tc>
      <w:tc>
        <w:tcPr>
          <w:tcW w:w="1367" w:type="dxa"/>
        </w:tcPr>
        <w:p w:rsidR="00257357" w:rsidRPr="00730D71" w:rsidRDefault="007712BE" w:rsidP="00257357">
          <w:pPr>
            <w:pStyle w:val="stBilgi"/>
            <w:jc w:val="center"/>
            <w:rPr>
              <w:rFonts w:ascii="Verdana" w:hAnsi="Verdana"/>
              <w:b/>
              <w:sz w:val="16"/>
              <w:szCs w:val="16"/>
            </w:rPr>
          </w:pPr>
          <w:r>
            <w:rPr>
              <w:rFonts w:ascii="Verdana" w:hAnsi="Verdana"/>
              <w:b/>
              <w:sz w:val="16"/>
              <w:szCs w:val="16"/>
            </w:rPr>
            <w:t>IRNAC</w:t>
          </w:r>
          <w:r w:rsidR="00257357">
            <w:rPr>
              <w:rFonts w:ascii="Verdana" w:hAnsi="Verdana"/>
              <w:b/>
              <w:sz w:val="16"/>
              <w:szCs w:val="16"/>
            </w:rPr>
            <w:t>-G-2</w:t>
          </w:r>
          <w:r w:rsidR="00257357" w:rsidRPr="00730D71">
            <w:rPr>
              <w:rFonts w:ascii="Verdana" w:hAnsi="Verdana"/>
              <w:b/>
              <w:sz w:val="16"/>
              <w:szCs w:val="16"/>
            </w:rPr>
            <w:t>1</w:t>
          </w:r>
        </w:p>
        <w:p w:rsidR="00257357" w:rsidRDefault="00257357" w:rsidP="00257357">
          <w:pPr>
            <w:pStyle w:val="stBilgi"/>
            <w:rPr>
              <w:rFonts w:eastAsia="Courier New"/>
              <w:b/>
              <w:sz w:val="32"/>
              <w:szCs w:val="32"/>
            </w:rPr>
          </w:pPr>
        </w:p>
      </w:tc>
    </w:tr>
    <w:tr w:rsidR="00257357" w:rsidTr="007712BE">
      <w:trPr>
        <w:trHeight w:val="144"/>
      </w:trPr>
      <w:tc>
        <w:tcPr>
          <w:tcW w:w="1873" w:type="dxa"/>
          <w:vMerge/>
        </w:tcPr>
        <w:p w:rsidR="00257357" w:rsidRDefault="00257357" w:rsidP="00257357">
          <w:pPr>
            <w:pStyle w:val="stBilgi"/>
            <w:rPr>
              <w:rFonts w:eastAsia="Courier New"/>
              <w:b/>
              <w:sz w:val="32"/>
              <w:szCs w:val="32"/>
            </w:rPr>
          </w:pPr>
        </w:p>
      </w:tc>
      <w:tc>
        <w:tcPr>
          <w:tcW w:w="5337" w:type="dxa"/>
          <w:vMerge/>
        </w:tcPr>
        <w:p w:rsidR="00257357" w:rsidRPr="00F8570E" w:rsidRDefault="00257357" w:rsidP="00257357">
          <w:pPr>
            <w:pStyle w:val="stBilgi"/>
            <w:jc w:val="center"/>
            <w:rPr>
              <w:rFonts w:ascii="Verdana" w:hAnsi="Verdana"/>
              <w:b/>
            </w:rPr>
          </w:pPr>
        </w:p>
      </w:tc>
      <w:tc>
        <w:tcPr>
          <w:tcW w:w="1137" w:type="dxa"/>
        </w:tcPr>
        <w:p w:rsidR="00257357" w:rsidRPr="004F5E88" w:rsidRDefault="00257357" w:rsidP="00257357">
          <w:pPr>
            <w:pStyle w:val="stBilgi"/>
            <w:jc w:val="center"/>
            <w:rPr>
              <w:rFonts w:ascii="Verdana" w:hAnsi="Verdana"/>
              <w:b/>
              <w:sz w:val="16"/>
              <w:szCs w:val="16"/>
            </w:rPr>
          </w:pPr>
          <w:proofErr w:type="spellStart"/>
          <w:r w:rsidRPr="004F5E88">
            <w:rPr>
              <w:rFonts w:ascii="Verdana" w:hAnsi="Verdana"/>
              <w:b/>
              <w:sz w:val="16"/>
              <w:szCs w:val="16"/>
            </w:rPr>
            <w:t>Release</w:t>
          </w:r>
          <w:proofErr w:type="spellEnd"/>
          <w:r w:rsidRPr="004F5E88">
            <w:rPr>
              <w:rFonts w:ascii="Verdana" w:hAnsi="Verdana"/>
              <w:b/>
              <w:sz w:val="16"/>
              <w:szCs w:val="16"/>
            </w:rPr>
            <w:t xml:space="preserve"> </w:t>
          </w:r>
          <w:proofErr w:type="spellStart"/>
          <w:r w:rsidRPr="004F5E88">
            <w:rPr>
              <w:rFonts w:ascii="Verdana" w:hAnsi="Verdana"/>
              <w:b/>
              <w:sz w:val="16"/>
              <w:szCs w:val="16"/>
            </w:rPr>
            <w:t>Date</w:t>
          </w:r>
          <w:proofErr w:type="spellEnd"/>
          <w:r w:rsidRPr="004F5E88">
            <w:rPr>
              <w:rFonts w:ascii="Verdana" w:hAnsi="Verdana"/>
              <w:b/>
              <w:sz w:val="16"/>
              <w:szCs w:val="16"/>
            </w:rPr>
            <w:t>:</w:t>
          </w:r>
        </w:p>
      </w:tc>
      <w:tc>
        <w:tcPr>
          <w:tcW w:w="1367" w:type="dxa"/>
        </w:tcPr>
        <w:p w:rsidR="00257357" w:rsidRDefault="00257357" w:rsidP="00257357">
          <w:pPr>
            <w:pStyle w:val="stBilgi"/>
            <w:jc w:val="center"/>
            <w:rPr>
              <w:rFonts w:eastAsia="Courier New"/>
              <w:b/>
              <w:sz w:val="32"/>
              <w:szCs w:val="32"/>
            </w:rPr>
          </w:pPr>
          <w:r>
            <w:rPr>
              <w:rFonts w:ascii="Verdana" w:hAnsi="Verdana"/>
              <w:b/>
              <w:sz w:val="16"/>
              <w:szCs w:val="16"/>
            </w:rPr>
            <w:t>01/04</w:t>
          </w:r>
          <w:r w:rsidRPr="00A570C8">
            <w:rPr>
              <w:rFonts w:ascii="Verdana" w:hAnsi="Verdana"/>
              <w:b/>
              <w:sz w:val="16"/>
              <w:szCs w:val="16"/>
            </w:rPr>
            <w:t>/202</w:t>
          </w:r>
          <w:r w:rsidR="00713830">
            <w:rPr>
              <w:rFonts w:ascii="Verdana" w:hAnsi="Verdana"/>
              <w:b/>
              <w:sz w:val="16"/>
              <w:szCs w:val="16"/>
            </w:rPr>
            <w:t>3</w:t>
          </w:r>
        </w:p>
      </w:tc>
    </w:tr>
    <w:tr w:rsidR="00257357" w:rsidTr="007712BE">
      <w:trPr>
        <w:trHeight w:val="253"/>
      </w:trPr>
      <w:tc>
        <w:tcPr>
          <w:tcW w:w="1873" w:type="dxa"/>
          <w:vMerge/>
        </w:tcPr>
        <w:p w:rsidR="00257357" w:rsidRDefault="00257357" w:rsidP="00257357">
          <w:pPr>
            <w:pStyle w:val="stBilgi"/>
            <w:rPr>
              <w:rFonts w:eastAsia="Courier New"/>
              <w:b/>
              <w:sz w:val="32"/>
              <w:szCs w:val="32"/>
            </w:rPr>
          </w:pPr>
        </w:p>
      </w:tc>
      <w:tc>
        <w:tcPr>
          <w:tcW w:w="5337" w:type="dxa"/>
          <w:vMerge/>
        </w:tcPr>
        <w:p w:rsidR="00257357" w:rsidRPr="00F8570E" w:rsidRDefault="00257357" w:rsidP="00257357">
          <w:pPr>
            <w:pStyle w:val="stBilgi"/>
            <w:jc w:val="center"/>
            <w:rPr>
              <w:rFonts w:ascii="Verdana" w:hAnsi="Verdana"/>
              <w:b/>
            </w:rPr>
          </w:pPr>
        </w:p>
      </w:tc>
      <w:tc>
        <w:tcPr>
          <w:tcW w:w="1137" w:type="dxa"/>
        </w:tcPr>
        <w:p w:rsidR="00257357" w:rsidRPr="004F5E88" w:rsidRDefault="00257357" w:rsidP="00257357">
          <w:pPr>
            <w:pStyle w:val="stBilgi"/>
            <w:jc w:val="center"/>
            <w:rPr>
              <w:rFonts w:ascii="Verdana" w:hAnsi="Verdana"/>
              <w:b/>
              <w:sz w:val="16"/>
              <w:szCs w:val="16"/>
            </w:rPr>
          </w:pPr>
          <w:proofErr w:type="spellStart"/>
          <w:r w:rsidRPr="004F5E88">
            <w:rPr>
              <w:rFonts w:ascii="Verdana" w:hAnsi="Verdana"/>
              <w:b/>
              <w:sz w:val="16"/>
              <w:szCs w:val="16"/>
            </w:rPr>
            <w:t>Rev</w:t>
          </w:r>
          <w:proofErr w:type="spellEnd"/>
          <w:r w:rsidRPr="004F5E88">
            <w:rPr>
              <w:rFonts w:ascii="Verdana" w:hAnsi="Verdana"/>
              <w:b/>
              <w:sz w:val="16"/>
              <w:szCs w:val="16"/>
            </w:rPr>
            <w:t xml:space="preserve"> </w:t>
          </w:r>
          <w:proofErr w:type="spellStart"/>
          <w:r w:rsidRPr="004F5E88">
            <w:rPr>
              <w:rFonts w:ascii="Verdana" w:hAnsi="Verdana"/>
              <w:b/>
              <w:sz w:val="16"/>
              <w:szCs w:val="16"/>
            </w:rPr>
            <w:t>Date</w:t>
          </w:r>
          <w:proofErr w:type="spellEnd"/>
          <w:r w:rsidRPr="004F5E88">
            <w:rPr>
              <w:rFonts w:ascii="Verdana" w:hAnsi="Verdana"/>
              <w:b/>
              <w:sz w:val="16"/>
              <w:szCs w:val="16"/>
            </w:rPr>
            <w:t xml:space="preserve"> / No:</w:t>
          </w:r>
        </w:p>
      </w:tc>
      <w:tc>
        <w:tcPr>
          <w:tcW w:w="1367" w:type="dxa"/>
        </w:tcPr>
        <w:p w:rsidR="00257357" w:rsidRDefault="00257357" w:rsidP="00257357">
          <w:pPr>
            <w:pStyle w:val="stBilgi"/>
            <w:jc w:val="center"/>
            <w:rPr>
              <w:rFonts w:eastAsia="Courier New"/>
              <w:b/>
              <w:sz w:val="32"/>
              <w:szCs w:val="32"/>
            </w:rPr>
          </w:pPr>
          <w:r>
            <w:rPr>
              <w:rFonts w:eastAsia="Courier New"/>
              <w:b/>
              <w:sz w:val="32"/>
              <w:szCs w:val="32"/>
            </w:rPr>
            <w:t>0</w:t>
          </w:r>
        </w:p>
      </w:tc>
    </w:tr>
    <w:tr w:rsidR="00257357" w:rsidTr="007712BE">
      <w:trPr>
        <w:trHeight w:val="253"/>
      </w:trPr>
      <w:tc>
        <w:tcPr>
          <w:tcW w:w="1873" w:type="dxa"/>
          <w:vMerge/>
        </w:tcPr>
        <w:p w:rsidR="00257357" w:rsidRDefault="00257357" w:rsidP="00257357">
          <w:pPr>
            <w:pStyle w:val="stBilgi"/>
            <w:rPr>
              <w:rFonts w:eastAsia="Courier New"/>
              <w:b/>
              <w:sz w:val="32"/>
              <w:szCs w:val="32"/>
            </w:rPr>
          </w:pPr>
        </w:p>
      </w:tc>
      <w:tc>
        <w:tcPr>
          <w:tcW w:w="5337" w:type="dxa"/>
          <w:vMerge/>
        </w:tcPr>
        <w:p w:rsidR="00257357" w:rsidRPr="00F8570E" w:rsidRDefault="00257357" w:rsidP="00257357">
          <w:pPr>
            <w:pStyle w:val="stBilgi"/>
            <w:jc w:val="center"/>
            <w:rPr>
              <w:rFonts w:ascii="Verdana" w:hAnsi="Verdana"/>
              <w:b/>
            </w:rPr>
          </w:pPr>
        </w:p>
      </w:tc>
      <w:tc>
        <w:tcPr>
          <w:tcW w:w="1137" w:type="dxa"/>
        </w:tcPr>
        <w:p w:rsidR="00257357" w:rsidRPr="004F5E88" w:rsidRDefault="00257357" w:rsidP="00257357">
          <w:pPr>
            <w:pStyle w:val="stBilgi"/>
            <w:jc w:val="center"/>
            <w:rPr>
              <w:rFonts w:ascii="Verdana" w:hAnsi="Verdana"/>
              <w:b/>
              <w:sz w:val="16"/>
              <w:szCs w:val="16"/>
            </w:rPr>
          </w:pPr>
        </w:p>
      </w:tc>
      <w:tc>
        <w:tcPr>
          <w:tcW w:w="1367" w:type="dxa"/>
        </w:tcPr>
        <w:p w:rsidR="00257357" w:rsidRDefault="00257357" w:rsidP="00257357">
          <w:pPr>
            <w:pStyle w:val="stBilgi"/>
            <w:rPr>
              <w:rFonts w:eastAsia="Courier New"/>
              <w:b/>
              <w:sz w:val="32"/>
              <w:szCs w:val="32"/>
            </w:rPr>
          </w:pPr>
        </w:p>
      </w:tc>
    </w:tr>
  </w:tbl>
  <w:p w:rsidR="003A789C" w:rsidRDefault="003A78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BB4CD84"/>
    <w:lvl w:ilvl="0">
      <w:numFmt w:val="bullet"/>
      <w:lvlText w:val="*"/>
      <w:lvlJc w:val="left"/>
    </w:lvl>
  </w:abstractNum>
  <w:abstractNum w:abstractNumId="1" w15:restartNumberingAfterBreak="0">
    <w:nsid w:val="49C12561"/>
    <w:multiLevelType w:val="singleLevel"/>
    <w:tmpl w:val="74488674"/>
    <w:lvl w:ilvl="0">
      <w:start w:val="1"/>
      <w:numFmt w:val="decimal"/>
      <w:lvlText w:val="%1."/>
      <w:legacy w:legacy="1" w:legacySpace="0" w:legacyIndent="0"/>
      <w:lvlJc w:val="left"/>
      <w:rPr>
        <w:rFonts w:ascii="DejaVu Sans Condensed" w:hAnsi="DejaVu Sans Condensed"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2E7"/>
    <w:rsid w:val="00013AF9"/>
    <w:rsid w:val="000A62F4"/>
    <w:rsid w:val="000C02E7"/>
    <w:rsid w:val="0017409E"/>
    <w:rsid w:val="0017442E"/>
    <w:rsid w:val="001F6519"/>
    <w:rsid w:val="00251422"/>
    <w:rsid w:val="00257357"/>
    <w:rsid w:val="002E506B"/>
    <w:rsid w:val="00343F2E"/>
    <w:rsid w:val="00357223"/>
    <w:rsid w:val="003A789C"/>
    <w:rsid w:val="004177AA"/>
    <w:rsid w:val="00432181"/>
    <w:rsid w:val="00436756"/>
    <w:rsid w:val="00472F2B"/>
    <w:rsid w:val="004C1E22"/>
    <w:rsid w:val="004E3DC6"/>
    <w:rsid w:val="005F2893"/>
    <w:rsid w:val="006551BF"/>
    <w:rsid w:val="00672765"/>
    <w:rsid w:val="00713830"/>
    <w:rsid w:val="00741526"/>
    <w:rsid w:val="007712BE"/>
    <w:rsid w:val="007928B3"/>
    <w:rsid w:val="007D2FEE"/>
    <w:rsid w:val="007F5E9B"/>
    <w:rsid w:val="009C4870"/>
    <w:rsid w:val="00A44049"/>
    <w:rsid w:val="00AC1A2C"/>
    <w:rsid w:val="00AF4EB7"/>
    <w:rsid w:val="00B76CFF"/>
    <w:rsid w:val="00B81619"/>
    <w:rsid w:val="00B85910"/>
    <w:rsid w:val="00BB4C71"/>
    <w:rsid w:val="00BC1FD0"/>
    <w:rsid w:val="00BF3BE6"/>
    <w:rsid w:val="00C63BE8"/>
    <w:rsid w:val="00D673B2"/>
    <w:rsid w:val="00D70DC9"/>
    <w:rsid w:val="00DB4CB4"/>
    <w:rsid w:val="00DC16EC"/>
    <w:rsid w:val="00DE665F"/>
    <w:rsid w:val="00F44DC7"/>
    <w:rsid w:val="00F67467"/>
    <w:rsid w:val="00FB26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60D4"/>
  <w15:docId w15:val="{976B0D04-1B8B-464E-8EB1-D6E5668E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2E7"/>
    <w:pPr>
      <w:autoSpaceDE w:val="0"/>
      <w:autoSpaceDN w:val="0"/>
      <w:adjustRightInd w:val="0"/>
      <w:spacing w:after="0" w:line="240" w:lineRule="auto"/>
    </w:pPr>
    <w:rPr>
      <w:rFonts w:ascii="DejaVu Sans Condensed" w:hAnsi="DejaVu Sans Condensed"/>
      <w:sz w:val="24"/>
      <w:szCs w:val="24"/>
    </w:rPr>
  </w:style>
  <w:style w:type="paragraph" w:styleId="Balk1">
    <w:name w:val="heading 1"/>
    <w:basedOn w:val="Normal"/>
    <w:next w:val="Normal"/>
    <w:link w:val="Balk1Char"/>
    <w:uiPriority w:val="99"/>
    <w:qFormat/>
    <w:rsid w:val="000C02E7"/>
    <w:pPr>
      <w:outlineLvl w:val="0"/>
    </w:pPr>
  </w:style>
  <w:style w:type="paragraph" w:styleId="Balk2">
    <w:name w:val="heading 2"/>
    <w:basedOn w:val="Normal"/>
    <w:next w:val="Normal"/>
    <w:link w:val="Balk2Char"/>
    <w:uiPriority w:val="99"/>
    <w:qFormat/>
    <w:rsid w:val="000C02E7"/>
    <w:p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0C02E7"/>
    <w:rPr>
      <w:rFonts w:ascii="DejaVu Sans Condensed" w:hAnsi="DejaVu Sans Condensed"/>
      <w:sz w:val="24"/>
      <w:szCs w:val="24"/>
    </w:rPr>
  </w:style>
  <w:style w:type="character" w:customStyle="1" w:styleId="Balk2Char">
    <w:name w:val="Başlık 2 Char"/>
    <w:basedOn w:val="VarsaylanParagrafYazTipi"/>
    <w:link w:val="Balk2"/>
    <w:uiPriority w:val="99"/>
    <w:rsid w:val="000C02E7"/>
    <w:rPr>
      <w:rFonts w:ascii="DejaVu Sans Condensed" w:hAnsi="DejaVu Sans Condensed"/>
      <w:sz w:val="24"/>
      <w:szCs w:val="24"/>
    </w:rPr>
  </w:style>
  <w:style w:type="paragraph" w:styleId="BalonMetni">
    <w:name w:val="Balloon Text"/>
    <w:basedOn w:val="Normal"/>
    <w:link w:val="BalonMetniChar"/>
    <w:uiPriority w:val="99"/>
    <w:semiHidden/>
    <w:unhideWhenUsed/>
    <w:rsid w:val="000C02E7"/>
    <w:rPr>
      <w:rFonts w:ascii="Tahoma" w:hAnsi="Tahoma" w:cs="Tahoma"/>
      <w:sz w:val="16"/>
      <w:szCs w:val="16"/>
    </w:rPr>
  </w:style>
  <w:style w:type="character" w:customStyle="1" w:styleId="BalonMetniChar">
    <w:name w:val="Balon Metni Char"/>
    <w:basedOn w:val="VarsaylanParagrafYazTipi"/>
    <w:link w:val="BalonMetni"/>
    <w:uiPriority w:val="99"/>
    <w:semiHidden/>
    <w:rsid w:val="000C02E7"/>
    <w:rPr>
      <w:rFonts w:ascii="Tahoma" w:hAnsi="Tahoma" w:cs="Tahoma"/>
      <w:sz w:val="16"/>
      <w:szCs w:val="16"/>
    </w:rPr>
  </w:style>
  <w:style w:type="paragraph" w:styleId="stBilgi">
    <w:name w:val="header"/>
    <w:basedOn w:val="Normal"/>
    <w:link w:val="stBilgiChar"/>
    <w:uiPriority w:val="99"/>
    <w:unhideWhenUsed/>
    <w:rsid w:val="003A789C"/>
    <w:pPr>
      <w:tabs>
        <w:tab w:val="center" w:pos="4536"/>
        <w:tab w:val="right" w:pos="9072"/>
      </w:tabs>
    </w:pPr>
  </w:style>
  <w:style w:type="character" w:customStyle="1" w:styleId="stBilgiChar">
    <w:name w:val="Üst Bilgi Char"/>
    <w:basedOn w:val="VarsaylanParagrafYazTipi"/>
    <w:link w:val="stBilgi"/>
    <w:uiPriority w:val="99"/>
    <w:rsid w:val="003A789C"/>
    <w:rPr>
      <w:rFonts w:ascii="DejaVu Sans Condensed" w:hAnsi="DejaVu Sans Condensed"/>
      <w:sz w:val="24"/>
      <w:szCs w:val="24"/>
    </w:rPr>
  </w:style>
  <w:style w:type="paragraph" w:styleId="AltBilgi">
    <w:name w:val="footer"/>
    <w:basedOn w:val="Normal"/>
    <w:link w:val="AltBilgiChar"/>
    <w:uiPriority w:val="99"/>
    <w:unhideWhenUsed/>
    <w:rsid w:val="003A789C"/>
    <w:pPr>
      <w:tabs>
        <w:tab w:val="center" w:pos="4536"/>
        <w:tab w:val="right" w:pos="9072"/>
      </w:tabs>
    </w:pPr>
  </w:style>
  <w:style w:type="character" w:customStyle="1" w:styleId="AltBilgiChar">
    <w:name w:val="Alt Bilgi Char"/>
    <w:basedOn w:val="VarsaylanParagrafYazTipi"/>
    <w:link w:val="AltBilgi"/>
    <w:uiPriority w:val="99"/>
    <w:rsid w:val="003A789C"/>
    <w:rPr>
      <w:rFonts w:ascii="DejaVu Sans Condensed" w:hAnsi="DejaVu Sans Condensed"/>
      <w:sz w:val="24"/>
      <w:szCs w:val="24"/>
    </w:rPr>
  </w:style>
  <w:style w:type="table" w:styleId="TabloKlavuzu">
    <w:name w:val="Table Grid"/>
    <w:basedOn w:val="NormalTablo"/>
    <w:uiPriority w:val="59"/>
    <w:rsid w:val="003A789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6870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emrekoyuncu</dc:creator>
  <cp:lastModifiedBy>sevda@hotmail.com</cp:lastModifiedBy>
  <cp:revision>2</cp:revision>
  <cp:lastPrinted>2023-03-06T09:04:00Z</cp:lastPrinted>
  <dcterms:created xsi:type="dcterms:W3CDTF">2023-09-27T12:58:00Z</dcterms:created>
  <dcterms:modified xsi:type="dcterms:W3CDTF">2023-09-27T12:58:00Z</dcterms:modified>
</cp:coreProperties>
</file>